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17B7" w14:textId="168B9503" w:rsidR="00AF5CF6" w:rsidRDefault="00F14668" w:rsidP="00AF5CF6">
      <w:pPr>
        <w:pStyle w:val="Titre"/>
        <w:rPr>
          <w:sz w:val="32"/>
        </w:rPr>
      </w:pPr>
      <w:r w:rsidRPr="00921333">
        <w:rPr>
          <w:sz w:val="32"/>
        </w:rPr>
        <w:t>R</w:t>
      </w:r>
      <w:r w:rsidR="00AF5CF6" w:rsidRPr="00921333">
        <w:rPr>
          <w:sz w:val="32"/>
        </w:rPr>
        <w:t>eprésentations sociales de la coopétition</w:t>
      </w:r>
      <w:r w:rsidRPr="00921333">
        <w:rPr>
          <w:sz w:val="32"/>
        </w:rPr>
        <w:t xml:space="preserve"> au niveau </w:t>
      </w:r>
      <w:r w:rsidR="005223C0">
        <w:rPr>
          <w:sz w:val="32"/>
        </w:rPr>
        <w:t>individu</w:t>
      </w:r>
      <w:r w:rsidRPr="00921333">
        <w:rPr>
          <w:sz w:val="32"/>
        </w:rPr>
        <w:t>el</w:t>
      </w:r>
      <w:r w:rsidR="00AF5CF6" w:rsidRPr="00921333">
        <w:rPr>
          <w:sz w:val="32"/>
        </w:rPr>
        <w:t xml:space="preserve">. </w:t>
      </w:r>
      <w:r w:rsidR="006268E5">
        <w:rPr>
          <w:sz w:val="32"/>
        </w:rPr>
        <w:br/>
      </w:r>
      <w:r w:rsidR="00AF5CF6" w:rsidRPr="00921333">
        <w:rPr>
          <w:sz w:val="32"/>
        </w:rPr>
        <w:t xml:space="preserve">Le cas d’une alliance entre instituts de formation </w:t>
      </w:r>
      <w:r w:rsidR="0039597F" w:rsidRPr="00921333">
        <w:rPr>
          <w:sz w:val="32"/>
        </w:rPr>
        <w:t xml:space="preserve">en </w:t>
      </w:r>
      <w:r w:rsidR="00AF5CF6" w:rsidRPr="00921333">
        <w:rPr>
          <w:sz w:val="32"/>
        </w:rPr>
        <w:t>ostéopathie.</w:t>
      </w:r>
    </w:p>
    <w:p w14:paraId="1EC0E924" w14:textId="77777777" w:rsidR="006268E5" w:rsidRPr="006268E5" w:rsidRDefault="006268E5" w:rsidP="006268E5"/>
    <w:p w14:paraId="0E789D94" w14:textId="77777777" w:rsidR="00AF5CF6" w:rsidRDefault="00AF5CF6" w:rsidP="000C3588"/>
    <w:p w14:paraId="2E1211BA" w14:textId="0077665A" w:rsidR="00AF5CF6" w:rsidRDefault="00921333" w:rsidP="00921333">
      <w:pPr>
        <w:jc w:val="center"/>
        <w:rPr>
          <w:b/>
        </w:rPr>
      </w:pPr>
      <w:r w:rsidRPr="00921333">
        <w:rPr>
          <w:b/>
        </w:rPr>
        <w:t>ALBERT-CROMARIAS</w:t>
      </w:r>
      <w:r w:rsidR="00BD1069">
        <w:rPr>
          <w:b/>
        </w:rPr>
        <w:t xml:space="preserve"> Anne</w:t>
      </w:r>
    </w:p>
    <w:p w14:paraId="70D9E006" w14:textId="79A99AAF" w:rsidR="00BD1069" w:rsidRDefault="00BD1069" w:rsidP="00921333">
      <w:pPr>
        <w:jc w:val="center"/>
      </w:pPr>
      <w:r>
        <w:t xml:space="preserve">Enseignant-Chercheur HDR </w:t>
      </w:r>
      <w:r>
        <w:br/>
        <w:t xml:space="preserve">ESC Clermont Business </w:t>
      </w:r>
      <w:proofErr w:type="spellStart"/>
      <w:r>
        <w:t>School</w:t>
      </w:r>
      <w:proofErr w:type="spellEnd"/>
      <w:r>
        <w:t xml:space="preserve"> / Laboratoire </w:t>
      </w:r>
      <w:proofErr w:type="spellStart"/>
      <w:r>
        <w:t>CleRMa</w:t>
      </w:r>
      <w:proofErr w:type="spellEnd"/>
    </w:p>
    <w:p w14:paraId="0333F2F5" w14:textId="1E8E2B11" w:rsidR="00BD1069" w:rsidRDefault="00BD1069" w:rsidP="00921333">
      <w:pPr>
        <w:jc w:val="center"/>
        <w:rPr>
          <w:rStyle w:val="Lienhypertexte"/>
        </w:rPr>
      </w:pPr>
      <w:r>
        <w:t>4 boulevard Trudaine, 63000 Clermont-Ferrand</w:t>
      </w:r>
      <w:r>
        <w:br/>
      </w:r>
      <w:hyperlink r:id="rId8" w:history="1">
        <w:r w:rsidRPr="00923719">
          <w:rPr>
            <w:rStyle w:val="Lienhypertexte"/>
          </w:rPr>
          <w:t>anne.albert@esc-clermont.fr</w:t>
        </w:r>
      </w:hyperlink>
    </w:p>
    <w:p w14:paraId="4F16DFED" w14:textId="77777777" w:rsidR="00BD1069" w:rsidRPr="00921333" w:rsidRDefault="00BD1069" w:rsidP="00921333">
      <w:pPr>
        <w:jc w:val="center"/>
        <w:rPr>
          <w:b/>
        </w:rPr>
      </w:pPr>
    </w:p>
    <w:p w14:paraId="6917DFF8" w14:textId="3C00AEF0" w:rsidR="00921333" w:rsidRDefault="00921333" w:rsidP="00921333">
      <w:pPr>
        <w:jc w:val="center"/>
        <w:rPr>
          <w:b/>
          <w:lang w:val="en-US"/>
        </w:rPr>
      </w:pPr>
      <w:r w:rsidRPr="00921333">
        <w:rPr>
          <w:b/>
        </w:rPr>
        <w:t>Julien LIVERTOUT</w:t>
      </w:r>
    </w:p>
    <w:p w14:paraId="5BB937D1" w14:textId="25418796" w:rsidR="00BD1069" w:rsidRDefault="00BD1069" w:rsidP="00921333">
      <w:pPr>
        <w:jc w:val="center"/>
      </w:pPr>
      <w:r>
        <w:t>Directeur de l’IFSO Vichy</w:t>
      </w:r>
    </w:p>
    <w:p w14:paraId="0143F892" w14:textId="773C348F" w:rsidR="00BD1069" w:rsidRPr="00921333" w:rsidRDefault="001F2039" w:rsidP="00921333">
      <w:pPr>
        <w:jc w:val="center"/>
        <w:rPr>
          <w:b/>
        </w:rPr>
      </w:pPr>
      <w:hyperlink r:id="rId9" w:history="1">
        <w:r w:rsidR="00BD1069" w:rsidRPr="00923719">
          <w:rPr>
            <w:rStyle w:val="Lienhypertexte"/>
          </w:rPr>
          <w:t>direction.ifso@ifso-vichy.com</w:t>
        </w:r>
      </w:hyperlink>
    </w:p>
    <w:p w14:paraId="1915273C" w14:textId="77777777" w:rsidR="00BD1069" w:rsidRDefault="00BD1069">
      <w:pPr>
        <w:spacing w:after="160" w:line="259" w:lineRule="auto"/>
        <w:jc w:val="left"/>
        <w:rPr>
          <w:rFonts w:eastAsiaTheme="majorEastAsia" w:cstheme="majorBidi"/>
          <w:b/>
          <w:spacing w:val="-10"/>
          <w:kern w:val="28"/>
          <w:sz w:val="32"/>
          <w:szCs w:val="56"/>
        </w:rPr>
      </w:pPr>
      <w:r>
        <w:rPr>
          <w:sz w:val="32"/>
        </w:rPr>
        <w:br w:type="page"/>
      </w:r>
    </w:p>
    <w:p w14:paraId="2C9CC91B" w14:textId="0F8A3D5F" w:rsidR="00BD1069" w:rsidRPr="00921333" w:rsidRDefault="00BD1069" w:rsidP="00BD1069">
      <w:pPr>
        <w:pStyle w:val="Titre"/>
        <w:rPr>
          <w:sz w:val="32"/>
        </w:rPr>
      </w:pPr>
      <w:r w:rsidRPr="00921333">
        <w:rPr>
          <w:sz w:val="32"/>
        </w:rPr>
        <w:lastRenderedPageBreak/>
        <w:t xml:space="preserve">Représentations sociales de la coopétition au niveau </w:t>
      </w:r>
      <w:r w:rsidR="005223C0">
        <w:rPr>
          <w:sz w:val="32"/>
        </w:rPr>
        <w:t>individuel</w:t>
      </w:r>
      <w:r w:rsidRPr="00921333">
        <w:rPr>
          <w:sz w:val="32"/>
        </w:rPr>
        <w:t xml:space="preserve">. </w:t>
      </w:r>
      <w:r w:rsidR="006268E5">
        <w:rPr>
          <w:sz w:val="32"/>
        </w:rPr>
        <w:br/>
      </w:r>
      <w:r w:rsidRPr="00921333">
        <w:rPr>
          <w:sz w:val="32"/>
        </w:rPr>
        <w:t>Le cas d’une alliance entre instituts de formation en ostéopathie.</w:t>
      </w:r>
    </w:p>
    <w:p w14:paraId="3F6CB1EA" w14:textId="77777777" w:rsidR="00921333" w:rsidRPr="00921333" w:rsidRDefault="00921333" w:rsidP="000C3588"/>
    <w:p w14:paraId="063EC811" w14:textId="38B0BBA9" w:rsidR="00AF5CF6" w:rsidRPr="00BD1069" w:rsidRDefault="00AF5CF6" w:rsidP="000C3588">
      <w:pPr>
        <w:rPr>
          <w:sz w:val="22"/>
        </w:rPr>
      </w:pPr>
      <w:r w:rsidRPr="00BD1069">
        <w:rPr>
          <w:b/>
          <w:sz w:val="22"/>
        </w:rPr>
        <w:t>Résumé</w:t>
      </w:r>
    </w:p>
    <w:p w14:paraId="318DF032" w14:textId="2B5565C1" w:rsidR="00AF5CF6" w:rsidRPr="00BD1069" w:rsidRDefault="00783142" w:rsidP="00B3225D">
      <w:pPr>
        <w:spacing w:line="240" w:lineRule="auto"/>
        <w:rPr>
          <w:sz w:val="22"/>
        </w:rPr>
      </w:pPr>
      <w:r w:rsidRPr="00BD1069">
        <w:rPr>
          <w:sz w:val="22"/>
        </w:rPr>
        <w:t xml:space="preserve">Si la littérature sur la coopétition est </w:t>
      </w:r>
      <w:r w:rsidR="00B33467" w:rsidRPr="00BD1069">
        <w:rPr>
          <w:sz w:val="22"/>
        </w:rPr>
        <w:t>désormais</w:t>
      </w:r>
      <w:r w:rsidRPr="00BD1069">
        <w:rPr>
          <w:sz w:val="22"/>
        </w:rPr>
        <w:t xml:space="preserve"> abondante, peu de travaux s’intéressent aux perceptions qu’</w:t>
      </w:r>
      <w:r w:rsidR="002621DB">
        <w:rPr>
          <w:sz w:val="22"/>
        </w:rPr>
        <w:t xml:space="preserve">en </w:t>
      </w:r>
      <w:r w:rsidRPr="00BD1069">
        <w:rPr>
          <w:sz w:val="22"/>
        </w:rPr>
        <w:t xml:space="preserve">ont les collaborateurs eux-mêmes. En complément </w:t>
      </w:r>
      <w:r w:rsidR="00B3225D" w:rsidRPr="00BD1069">
        <w:rPr>
          <w:sz w:val="22"/>
        </w:rPr>
        <w:t>d</w:t>
      </w:r>
      <w:r w:rsidR="00A6401E" w:rsidRPr="00BD1069">
        <w:rPr>
          <w:sz w:val="22"/>
        </w:rPr>
        <w:t>’</w:t>
      </w:r>
      <w:r w:rsidR="00B3225D" w:rsidRPr="00BD1069">
        <w:rPr>
          <w:sz w:val="22"/>
        </w:rPr>
        <w:t>articles récents sur la capacité de coopétition</w:t>
      </w:r>
      <w:r w:rsidR="00A6401E" w:rsidRPr="00BD1069">
        <w:rPr>
          <w:sz w:val="22"/>
        </w:rPr>
        <w:t xml:space="preserve"> et sur la perception </w:t>
      </w:r>
      <w:r w:rsidR="005223C0">
        <w:rPr>
          <w:sz w:val="22"/>
        </w:rPr>
        <w:t>intra-organisationnelle</w:t>
      </w:r>
      <w:r w:rsidR="00A6401E" w:rsidRPr="00BD1069">
        <w:rPr>
          <w:sz w:val="22"/>
        </w:rPr>
        <w:t xml:space="preserve"> d’une telle stratégie</w:t>
      </w:r>
      <w:r w:rsidR="00B3225D" w:rsidRPr="00BD1069">
        <w:rPr>
          <w:sz w:val="22"/>
        </w:rPr>
        <w:t>, l</w:t>
      </w:r>
      <w:r w:rsidR="00B33467" w:rsidRPr="00BD1069">
        <w:rPr>
          <w:sz w:val="22"/>
        </w:rPr>
        <w:t>e</w:t>
      </w:r>
      <w:r w:rsidR="00B3225D" w:rsidRPr="00BD1069">
        <w:rPr>
          <w:sz w:val="22"/>
        </w:rPr>
        <w:t xml:space="preserve"> présent </w:t>
      </w:r>
      <w:r w:rsidR="00B33467" w:rsidRPr="00BD1069">
        <w:rPr>
          <w:sz w:val="22"/>
        </w:rPr>
        <w:t>article</w:t>
      </w:r>
      <w:r w:rsidR="00B3225D" w:rsidRPr="00BD1069">
        <w:rPr>
          <w:sz w:val="22"/>
        </w:rPr>
        <w:t xml:space="preserve"> s’intéresse </w:t>
      </w:r>
      <w:r w:rsidR="00D709F8">
        <w:rPr>
          <w:sz w:val="22"/>
        </w:rPr>
        <w:t>à sa</w:t>
      </w:r>
      <w:r w:rsidR="00B3225D" w:rsidRPr="00BD1069">
        <w:rPr>
          <w:sz w:val="22"/>
        </w:rPr>
        <w:t xml:space="preserve"> représentation social</w:t>
      </w:r>
      <w:r w:rsidR="00D709F8">
        <w:rPr>
          <w:sz w:val="22"/>
        </w:rPr>
        <w:t>e</w:t>
      </w:r>
      <w:r w:rsidR="00B3225D" w:rsidRPr="00BD1069">
        <w:rPr>
          <w:sz w:val="22"/>
        </w:rPr>
        <w:t xml:space="preserve"> </w:t>
      </w:r>
      <w:r w:rsidR="00D709F8">
        <w:rPr>
          <w:sz w:val="22"/>
        </w:rPr>
        <w:t>par l</w:t>
      </w:r>
      <w:r w:rsidR="00B3225D" w:rsidRPr="00BD1069">
        <w:rPr>
          <w:sz w:val="22"/>
        </w:rPr>
        <w:t>es collaborateurs</w:t>
      </w:r>
      <w:r w:rsidR="00D709F8">
        <w:rPr>
          <w:sz w:val="22"/>
        </w:rPr>
        <w:t>,</w:t>
      </w:r>
      <w:r w:rsidR="00B3225D" w:rsidRPr="00BD1069">
        <w:rPr>
          <w:sz w:val="22"/>
        </w:rPr>
        <w:t xml:space="preserve"> en amont d’un projet de coopétition entre organisations.</w:t>
      </w:r>
    </w:p>
    <w:p w14:paraId="08721777" w14:textId="22E2F548" w:rsidR="00F7389F" w:rsidRPr="00BD1069" w:rsidRDefault="00F7389F" w:rsidP="00B3225D">
      <w:pPr>
        <w:spacing w:line="240" w:lineRule="auto"/>
        <w:rPr>
          <w:sz w:val="22"/>
        </w:rPr>
      </w:pPr>
      <w:r w:rsidRPr="00BD1069">
        <w:rPr>
          <w:sz w:val="22"/>
        </w:rPr>
        <w:t>A travers une étude de cas, n</w:t>
      </w:r>
      <w:r w:rsidR="00B3225D" w:rsidRPr="00BD1069">
        <w:rPr>
          <w:sz w:val="22"/>
        </w:rPr>
        <w:t xml:space="preserve">ous étudions plus spécifiquement </w:t>
      </w:r>
      <w:r w:rsidR="002621DB">
        <w:rPr>
          <w:sz w:val="22"/>
        </w:rPr>
        <w:t xml:space="preserve">le rapprochement </w:t>
      </w:r>
      <w:r w:rsidR="00B3225D" w:rsidRPr="00BD1069">
        <w:rPr>
          <w:sz w:val="22"/>
        </w:rPr>
        <w:t>de trois instituts de formation en ostéopathie. Les représentations sociales y sont repérées à l’aide d’un questionnaire d’association sémantique d’une part et d’entretiens semi-directifs d’autre part, administrés auprès de collaborateurs appartenant à différents groupes professionnels.</w:t>
      </w:r>
      <w:r w:rsidR="00BD1069">
        <w:rPr>
          <w:sz w:val="22"/>
        </w:rPr>
        <w:t xml:space="preserve"> </w:t>
      </w:r>
      <w:r w:rsidR="006F4E68" w:rsidRPr="00BD1069">
        <w:rPr>
          <w:sz w:val="22"/>
        </w:rPr>
        <w:t>Les résultats montrent que les représentations sociales associées à la coopétition peuven</w:t>
      </w:r>
      <w:r w:rsidR="00A6401E" w:rsidRPr="00BD1069">
        <w:rPr>
          <w:sz w:val="22"/>
        </w:rPr>
        <w:t>t être tout à fait positives ; ils</w:t>
      </w:r>
      <w:r w:rsidR="006F4E68" w:rsidRPr="00BD1069">
        <w:rPr>
          <w:sz w:val="22"/>
        </w:rPr>
        <w:t xml:space="preserve"> insistent sur l’importance de s’intéresser dès l’amont à la perception d’une telle stratégie par les collaborateurs.</w:t>
      </w:r>
      <w:r w:rsidRPr="00BD1069">
        <w:rPr>
          <w:sz w:val="22"/>
        </w:rPr>
        <w:t xml:space="preserve"> </w:t>
      </w:r>
    </w:p>
    <w:p w14:paraId="3639E188" w14:textId="30850B0B" w:rsidR="00B3225D" w:rsidRPr="00BD1069" w:rsidRDefault="00F7389F" w:rsidP="00CE0CB4">
      <w:pPr>
        <w:spacing w:line="240" w:lineRule="auto"/>
        <w:rPr>
          <w:sz w:val="22"/>
        </w:rPr>
      </w:pPr>
      <w:r w:rsidRPr="00BD1069">
        <w:rPr>
          <w:sz w:val="22"/>
        </w:rPr>
        <w:t xml:space="preserve">Notre recherche contribue ainsi à la littérature sur la coopétition sur deux aspects. </w:t>
      </w:r>
      <w:r w:rsidR="00B47069">
        <w:rPr>
          <w:sz w:val="22"/>
        </w:rPr>
        <w:t>Tout d’abord, e</w:t>
      </w:r>
      <w:r w:rsidRPr="00BD1069">
        <w:rPr>
          <w:sz w:val="22"/>
        </w:rPr>
        <w:t xml:space="preserve">n s’intéressant à l’amont de la coopétition, notre recherche apporte une contribution à la fois originale – car non encore explorée – et primordiale – </w:t>
      </w:r>
      <w:r w:rsidR="00B47069">
        <w:rPr>
          <w:sz w:val="22"/>
        </w:rPr>
        <w:t>puisqu’</w:t>
      </w:r>
      <w:r w:rsidRPr="00BD1069">
        <w:rPr>
          <w:sz w:val="22"/>
        </w:rPr>
        <w:t xml:space="preserve">il s’agit d’anticiper le degré d’acceptabilité de la coopétition par les collaborateurs eux-mêmes. </w:t>
      </w:r>
      <w:r w:rsidR="00CE0CB4" w:rsidRPr="00BD1069">
        <w:rPr>
          <w:sz w:val="22"/>
        </w:rPr>
        <w:t xml:space="preserve">De plus, notre recherche aborde </w:t>
      </w:r>
      <w:r w:rsidR="00B47069">
        <w:rPr>
          <w:sz w:val="22"/>
        </w:rPr>
        <w:t>la</w:t>
      </w:r>
      <w:r w:rsidR="00CE0CB4" w:rsidRPr="00BD1069">
        <w:rPr>
          <w:sz w:val="22"/>
        </w:rPr>
        <w:t xml:space="preserve"> perception </w:t>
      </w:r>
      <w:r w:rsidR="005223C0" w:rsidRPr="00BD1069">
        <w:rPr>
          <w:sz w:val="22"/>
        </w:rPr>
        <w:t xml:space="preserve">de la coopétition </w:t>
      </w:r>
      <w:r w:rsidR="005223C0">
        <w:rPr>
          <w:sz w:val="22"/>
        </w:rPr>
        <w:t>au</w:t>
      </w:r>
      <w:r w:rsidR="00CE0CB4" w:rsidRPr="00BD1069">
        <w:rPr>
          <w:sz w:val="22"/>
        </w:rPr>
        <w:t xml:space="preserve"> niveau </w:t>
      </w:r>
      <w:r w:rsidR="005223C0">
        <w:rPr>
          <w:sz w:val="22"/>
        </w:rPr>
        <w:t>individuel</w:t>
      </w:r>
      <w:r w:rsidR="00B47069">
        <w:rPr>
          <w:sz w:val="22"/>
        </w:rPr>
        <w:t>, encore très peu étudiée</w:t>
      </w:r>
      <w:r w:rsidR="00CE0CB4" w:rsidRPr="00BD1069">
        <w:rPr>
          <w:sz w:val="22"/>
        </w:rPr>
        <w:t>.</w:t>
      </w:r>
      <w:r w:rsidRPr="00BD1069">
        <w:rPr>
          <w:sz w:val="22"/>
        </w:rPr>
        <w:t xml:space="preserve"> Plusieurs recommandations sont </w:t>
      </w:r>
      <w:r w:rsidR="005223C0">
        <w:rPr>
          <w:sz w:val="22"/>
        </w:rPr>
        <w:t>ainsi</w:t>
      </w:r>
      <w:r w:rsidRPr="00BD1069">
        <w:rPr>
          <w:sz w:val="22"/>
        </w:rPr>
        <w:t xml:space="preserve"> formulées à destination des équipes de direction qui engagent des projets coopétitifs.</w:t>
      </w:r>
    </w:p>
    <w:p w14:paraId="658DF0FA" w14:textId="77777777" w:rsidR="00AF5CF6" w:rsidRPr="00BD1069" w:rsidRDefault="00AF5CF6" w:rsidP="000C3588">
      <w:pPr>
        <w:rPr>
          <w:sz w:val="22"/>
        </w:rPr>
      </w:pPr>
    </w:p>
    <w:p w14:paraId="0BE6E92A" w14:textId="174605BB" w:rsidR="00AF5CF6" w:rsidRPr="00BD1069" w:rsidRDefault="00AF5CF6" w:rsidP="000C3588">
      <w:pPr>
        <w:rPr>
          <w:sz w:val="22"/>
        </w:rPr>
      </w:pPr>
      <w:r w:rsidRPr="00BD1069">
        <w:rPr>
          <w:b/>
          <w:sz w:val="22"/>
        </w:rPr>
        <w:t>Mots clés</w:t>
      </w:r>
      <w:r w:rsidR="00BD1069" w:rsidRPr="00BD1069">
        <w:rPr>
          <w:sz w:val="22"/>
        </w:rPr>
        <w:t xml:space="preserve"> : </w:t>
      </w:r>
      <w:r w:rsidR="00CD736A" w:rsidRPr="00BD1069">
        <w:rPr>
          <w:sz w:val="22"/>
        </w:rPr>
        <w:t>Coopétition ; Alliance ; Représentations sociales</w:t>
      </w:r>
      <w:r w:rsidR="00E63953" w:rsidRPr="00BD1069">
        <w:rPr>
          <w:sz w:val="22"/>
        </w:rPr>
        <w:t> ; Perception</w:t>
      </w:r>
      <w:r w:rsidR="00F7389F" w:rsidRPr="00BD1069">
        <w:rPr>
          <w:sz w:val="22"/>
        </w:rPr>
        <w:t>s</w:t>
      </w:r>
      <w:r w:rsidR="00E63953" w:rsidRPr="00BD1069">
        <w:rPr>
          <w:sz w:val="22"/>
        </w:rPr>
        <w:t> ; Tensions</w:t>
      </w:r>
    </w:p>
    <w:p w14:paraId="7F200DE8" w14:textId="407F39E7" w:rsidR="003925F4" w:rsidRPr="00D709F8" w:rsidRDefault="00BD1069" w:rsidP="00BD1069">
      <w:pPr>
        <w:spacing w:after="160" w:line="259" w:lineRule="auto"/>
        <w:jc w:val="left"/>
        <w:rPr>
          <w:b/>
          <w:sz w:val="22"/>
          <w:lang w:val="en-GB"/>
        </w:rPr>
      </w:pPr>
      <w:r w:rsidRPr="00D709F8">
        <w:rPr>
          <w:b/>
          <w:sz w:val="22"/>
          <w:lang w:val="en-GB"/>
        </w:rPr>
        <w:t>A</w:t>
      </w:r>
      <w:r w:rsidR="003925F4" w:rsidRPr="00D709F8">
        <w:rPr>
          <w:b/>
          <w:sz w:val="22"/>
          <w:lang w:val="en-GB"/>
        </w:rPr>
        <w:t>bstract</w:t>
      </w:r>
    </w:p>
    <w:p w14:paraId="57E910B9" w14:textId="387FAB7A" w:rsidR="003925F4" w:rsidRPr="00BD1069" w:rsidRDefault="003925F4" w:rsidP="003925F4">
      <w:pPr>
        <w:spacing w:line="240" w:lineRule="auto"/>
        <w:rPr>
          <w:sz w:val="22"/>
          <w:lang w:val="en-GB"/>
        </w:rPr>
      </w:pPr>
      <w:r w:rsidRPr="00BD1069">
        <w:rPr>
          <w:sz w:val="22"/>
          <w:lang w:val="en-GB"/>
        </w:rPr>
        <w:t>While literature on coope</w:t>
      </w:r>
      <w:r w:rsidR="00FE311D" w:rsidRPr="00BD1069">
        <w:rPr>
          <w:sz w:val="22"/>
          <w:lang w:val="en-GB"/>
        </w:rPr>
        <w:t>ti</w:t>
      </w:r>
      <w:r w:rsidRPr="00BD1069">
        <w:rPr>
          <w:sz w:val="22"/>
          <w:lang w:val="en-GB"/>
        </w:rPr>
        <w:t>tion</w:t>
      </w:r>
      <w:r w:rsidR="00FE311D" w:rsidRPr="00BD1069">
        <w:rPr>
          <w:sz w:val="22"/>
          <w:lang w:val="en-GB"/>
        </w:rPr>
        <w:t xml:space="preserve"> is now rich</w:t>
      </w:r>
      <w:r w:rsidRPr="00BD1069">
        <w:rPr>
          <w:sz w:val="22"/>
          <w:lang w:val="en-GB"/>
        </w:rPr>
        <w:t xml:space="preserve">, little work </w:t>
      </w:r>
      <w:r w:rsidR="00FE311D" w:rsidRPr="00BD1069">
        <w:rPr>
          <w:sz w:val="22"/>
          <w:lang w:val="en-GB"/>
        </w:rPr>
        <w:t>focuses on</w:t>
      </w:r>
      <w:r w:rsidRPr="00BD1069">
        <w:rPr>
          <w:sz w:val="22"/>
          <w:lang w:val="en-GB"/>
        </w:rPr>
        <w:t xml:space="preserve"> </w:t>
      </w:r>
      <w:r w:rsidR="002621DB">
        <w:rPr>
          <w:sz w:val="22"/>
          <w:lang w:val="en-GB"/>
        </w:rPr>
        <w:t>its</w:t>
      </w:r>
      <w:r w:rsidRPr="00BD1069">
        <w:rPr>
          <w:sz w:val="22"/>
          <w:lang w:val="en-GB"/>
        </w:rPr>
        <w:t xml:space="preserve"> perceptions by the </w:t>
      </w:r>
      <w:r w:rsidR="00FE311D" w:rsidRPr="00BD1069">
        <w:rPr>
          <w:sz w:val="22"/>
          <w:lang w:val="en-GB"/>
        </w:rPr>
        <w:t>employees</w:t>
      </w:r>
      <w:r w:rsidRPr="00BD1069">
        <w:rPr>
          <w:sz w:val="22"/>
          <w:lang w:val="en-GB"/>
        </w:rPr>
        <w:t xml:space="preserve"> </w:t>
      </w:r>
      <w:r w:rsidR="00FE311D" w:rsidRPr="00BD1069">
        <w:rPr>
          <w:sz w:val="22"/>
          <w:lang w:val="en-GB"/>
        </w:rPr>
        <w:t>inside organisations</w:t>
      </w:r>
      <w:r w:rsidRPr="00BD1069">
        <w:rPr>
          <w:sz w:val="22"/>
          <w:lang w:val="en-GB"/>
        </w:rPr>
        <w:t>. In addition to recent</w:t>
      </w:r>
      <w:r w:rsidR="00FE311D" w:rsidRPr="00BD1069">
        <w:rPr>
          <w:sz w:val="22"/>
          <w:lang w:val="en-GB"/>
        </w:rPr>
        <w:t xml:space="preserve"> academic</w:t>
      </w:r>
      <w:r w:rsidRPr="00BD1069">
        <w:rPr>
          <w:sz w:val="22"/>
          <w:lang w:val="en-GB"/>
        </w:rPr>
        <w:t xml:space="preserve"> articles on the </w:t>
      </w:r>
      <w:r w:rsidR="00FE311D" w:rsidRPr="00BD1069">
        <w:rPr>
          <w:sz w:val="22"/>
          <w:lang w:val="en-GB"/>
        </w:rPr>
        <w:t xml:space="preserve">coopetition </w:t>
      </w:r>
      <w:r w:rsidRPr="00BD1069">
        <w:rPr>
          <w:sz w:val="22"/>
          <w:lang w:val="en-GB"/>
        </w:rPr>
        <w:t>capa</w:t>
      </w:r>
      <w:r w:rsidR="00FE311D" w:rsidRPr="00BD1069">
        <w:rPr>
          <w:sz w:val="22"/>
          <w:lang w:val="en-GB"/>
        </w:rPr>
        <w:t>bilit</w:t>
      </w:r>
      <w:r w:rsidRPr="00BD1069">
        <w:rPr>
          <w:sz w:val="22"/>
          <w:lang w:val="en-GB"/>
        </w:rPr>
        <w:t>y and on the intra-organisational perception of such a strategy, th</w:t>
      </w:r>
      <w:r w:rsidR="00B47069">
        <w:rPr>
          <w:sz w:val="22"/>
          <w:lang w:val="en-GB"/>
        </w:rPr>
        <w:t>is</w:t>
      </w:r>
      <w:r w:rsidRPr="00BD1069">
        <w:rPr>
          <w:sz w:val="22"/>
          <w:lang w:val="en-GB"/>
        </w:rPr>
        <w:t xml:space="preserve"> paper </w:t>
      </w:r>
      <w:r w:rsidR="00FE311D" w:rsidRPr="00BD1069">
        <w:rPr>
          <w:sz w:val="22"/>
          <w:lang w:val="en-GB"/>
        </w:rPr>
        <w:t>deals with</w:t>
      </w:r>
      <w:r w:rsidR="00D709F8">
        <w:rPr>
          <w:sz w:val="22"/>
          <w:lang w:val="en-GB"/>
        </w:rPr>
        <w:t xml:space="preserve"> the social representations from the</w:t>
      </w:r>
      <w:r w:rsidRPr="00BD1069">
        <w:rPr>
          <w:sz w:val="22"/>
          <w:lang w:val="en-GB"/>
        </w:rPr>
        <w:t xml:space="preserve"> </w:t>
      </w:r>
      <w:r w:rsidR="00FE311D" w:rsidRPr="00BD1069">
        <w:rPr>
          <w:sz w:val="22"/>
          <w:lang w:val="en-GB"/>
        </w:rPr>
        <w:t>employees</w:t>
      </w:r>
      <w:r w:rsidR="00D709F8">
        <w:rPr>
          <w:sz w:val="22"/>
          <w:lang w:val="en-GB"/>
        </w:rPr>
        <w:t>’ perspective,</w:t>
      </w:r>
      <w:r w:rsidR="00FE311D" w:rsidRPr="00BD1069">
        <w:rPr>
          <w:sz w:val="22"/>
          <w:lang w:val="en-GB"/>
        </w:rPr>
        <w:t xml:space="preserve"> at the very beginning</w:t>
      </w:r>
      <w:r w:rsidRPr="00BD1069">
        <w:rPr>
          <w:sz w:val="22"/>
          <w:lang w:val="en-GB"/>
        </w:rPr>
        <w:t xml:space="preserve"> of a </w:t>
      </w:r>
      <w:r w:rsidR="00D709F8">
        <w:rPr>
          <w:sz w:val="22"/>
          <w:lang w:val="en-GB"/>
        </w:rPr>
        <w:t xml:space="preserve">coopetitive </w:t>
      </w:r>
      <w:r w:rsidRPr="00BD1069">
        <w:rPr>
          <w:sz w:val="22"/>
          <w:lang w:val="en-GB"/>
        </w:rPr>
        <w:t>project between organisations.</w:t>
      </w:r>
    </w:p>
    <w:p w14:paraId="09C6E2DB" w14:textId="64228E44" w:rsidR="003925F4" w:rsidRPr="00BD1069" w:rsidRDefault="00FE311D" w:rsidP="003925F4">
      <w:pPr>
        <w:spacing w:line="240" w:lineRule="auto"/>
        <w:rPr>
          <w:sz w:val="22"/>
          <w:lang w:val="en-GB"/>
        </w:rPr>
      </w:pPr>
      <w:r w:rsidRPr="00BD1069">
        <w:rPr>
          <w:sz w:val="22"/>
          <w:lang w:val="en-GB"/>
        </w:rPr>
        <w:t>Thanks to</w:t>
      </w:r>
      <w:r w:rsidR="003925F4" w:rsidRPr="00BD1069">
        <w:rPr>
          <w:sz w:val="22"/>
          <w:lang w:val="en-GB"/>
        </w:rPr>
        <w:t xml:space="preserve"> a case study, we study more</w:t>
      </w:r>
      <w:r w:rsidR="002621DB">
        <w:rPr>
          <w:sz w:val="22"/>
          <w:lang w:val="en-GB"/>
        </w:rPr>
        <w:t xml:space="preserve"> specifically the </w:t>
      </w:r>
      <w:r w:rsidR="00D709F8">
        <w:rPr>
          <w:sz w:val="22"/>
          <w:lang w:val="en-GB"/>
        </w:rPr>
        <w:t>partnership between</w:t>
      </w:r>
      <w:r w:rsidR="003925F4" w:rsidRPr="00BD1069">
        <w:rPr>
          <w:sz w:val="22"/>
          <w:lang w:val="en-GB"/>
        </w:rPr>
        <w:t xml:space="preserve"> three </w:t>
      </w:r>
      <w:r w:rsidR="00D709F8" w:rsidRPr="00BD1069">
        <w:rPr>
          <w:sz w:val="22"/>
          <w:lang w:val="en-GB"/>
        </w:rPr>
        <w:t>osteopathy</w:t>
      </w:r>
      <w:r w:rsidR="00D709F8">
        <w:rPr>
          <w:sz w:val="22"/>
          <w:lang w:val="en-GB"/>
        </w:rPr>
        <w:t xml:space="preserve"> training</w:t>
      </w:r>
      <w:r w:rsidR="00D709F8" w:rsidRPr="00BD1069">
        <w:rPr>
          <w:sz w:val="22"/>
          <w:lang w:val="en-GB"/>
        </w:rPr>
        <w:t xml:space="preserve"> </w:t>
      </w:r>
      <w:r w:rsidRPr="00BD1069">
        <w:rPr>
          <w:sz w:val="22"/>
          <w:lang w:val="en-GB"/>
        </w:rPr>
        <w:t>schools</w:t>
      </w:r>
      <w:r w:rsidR="003925F4" w:rsidRPr="00BD1069">
        <w:rPr>
          <w:sz w:val="22"/>
          <w:lang w:val="en-GB"/>
        </w:rPr>
        <w:t xml:space="preserve">. </w:t>
      </w:r>
      <w:r w:rsidR="00D709F8">
        <w:rPr>
          <w:sz w:val="22"/>
          <w:lang w:val="en-GB"/>
        </w:rPr>
        <w:t>S</w:t>
      </w:r>
      <w:r w:rsidR="003925F4" w:rsidRPr="00BD1069">
        <w:rPr>
          <w:sz w:val="22"/>
          <w:lang w:val="en-GB"/>
        </w:rPr>
        <w:t>ocial representations are identified using a semantic association questionnaire on the one hand</w:t>
      </w:r>
      <w:r w:rsidRPr="00BD1069">
        <w:rPr>
          <w:sz w:val="22"/>
          <w:lang w:val="en-GB"/>
        </w:rPr>
        <w:t>,</w:t>
      </w:r>
      <w:r w:rsidR="003925F4" w:rsidRPr="00BD1069">
        <w:rPr>
          <w:sz w:val="22"/>
          <w:lang w:val="en-GB"/>
        </w:rPr>
        <w:t xml:space="preserve"> and semi-directive interviews on the other hand, </w:t>
      </w:r>
      <w:r w:rsidRPr="00BD1069">
        <w:rPr>
          <w:sz w:val="22"/>
          <w:lang w:val="en-GB"/>
        </w:rPr>
        <w:t>carried out</w:t>
      </w:r>
      <w:r w:rsidR="003925F4" w:rsidRPr="00BD1069">
        <w:rPr>
          <w:sz w:val="22"/>
          <w:lang w:val="en-GB"/>
        </w:rPr>
        <w:t xml:space="preserve"> </w:t>
      </w:r>
      <w:r w:rsidRPr="00BD1069">
        <w:rPr>
          <w:sz w:val="22"/>
          <w:lang w:val="en-GB"/>
        </w:rPr>
        <w:t>among employees from</w:t>
      </w:r>
      <w:r w:rsidR="003925F4" w:rsidRPr="00BD1069">
        <w:rPr>
          <w:sz w:val="22"/>
          <w:lang w:val="en-GB"/>
        </w:rPr>
        <w:t xml:space="preserve"> different professional groups.</w:t>
      </w:r>
      <w:r w:rsidR="00BD1069">
        <w:rPr>
          <w:sz w:val="22"/>
          <w:lang w:val="en-GB"/>
        </w:rPr>
        <w:t xml:space="preserve"> </w:t>
      </w:r>
      <w:r w:rsidR="003925F4" w:rsidRPr="00BD1069">
        <w:rPr>
          <w:sz w:val="22"/>
          <w:lang w:val="en-GB"/>
        </w:rPr>
        <w:t>The results show that the social repres</w:t>
      </w:r>
      <w:r w:rsidRPr="00BD1069">
        <w:rPr>
          <w:sz w:val="22"/>
          <w:lang w:val="en-GB"/>
        </w:rPr>
        <w:t>entations associated with coopeti</w:t>
      </w:r>
      <w:r w:rsidR="003925F4" w:rsidRPr="00BD1069">
        <w:rPr>
          <w:sz w:val="22"/>
          <w:lang w:val="en-GB"/>
        </w:rPr>
        <w:t xml:space="preserve">tion can be quite positive; they underline the importance of taking an early interest in the employees' perception of such a strategy. </w:t>
      </w:r>
    </w:p>
    <w:p w14:paraId="2DF9AAE0" w14:textId="66F7D1F1" w:rsidR="003925F4" w:rsidRPr="00BD1069" w:rsidRDefault="003925F4" w:rsidP="003925F4">
      <w:pPr>
        <w:spacing w:line="240" w:lineRule="auto"/>
        <w:rPr>
          <w:sz w:val="22"/>
          <w:lang w:val="en-GB"/>
        </w:rPr>
      </w:pPr>
      <w:r w:rsidRPr="00BD1069">
        <w:rPr>
          <w:sz w:val="22"/>
          <w:lang w:val="en-GB"/>
        </w:rPr>
        <w:t xml:space="preserve">Our research thus </w:t>
      </w:r>
      <w:r w:rsidR="00FE311D" w:rsidRPr="00BD1069">
        <w:rPr>
          <w:sz w:val="22"/>
          <w:lang w:val="en-GB"/>
        </w:rPr>
        <w:t>brings a twofold contribution</w:t>
      </w:r>
      <w:r w:rsidRPr="00BD1069">
        <w:rPr>
          <w:sz w:val="22"/>
          <w:lang w:val="en-GB"/>
        </w:rPr>
        <w:t xml:space="preserve"> to the literature on coopetition. </w:t>
      </w:r>
      <w:r w:rsidR="00B47069">
        <w:rPr>
          <w:sz w:val="22"/>
          <w:lang w:val="en-GB"/>
        </w:rPr>
        <w:t>First, b</w:t>
      </w:r>
      <w:r w:rsidRPr="00BD1069">
        <w:rPr>
          <w:sz w:val="22"/>
          <w:lang w:val="en-GB"/>
        </w:rPr>
        <w:t>y focusing on the upstream aspects of coope</w:t>
      </w:r>
      <w:r w:rsidR="00FE311D" w:rsidRPr="00BD1069">
        <w:rPr>
          <w:sz w:val="22"/>
          <w:lang w:val="en-GB"/>
        </w:rPr>
        <w:t>ti</w:t>
      </w:r>
      <w:r w:rsidRPr="00BD1069">
        <w:rPr>
          <w:sz w:val="22"/>
          <w:lang w:val="en-GB"/>
        </w:rPr>
        <w:t xml:space="preserve">tion, our research makes an original contribution </w:t>
      </w:r>
      <w:r w:rsidR="004D6DBD">
        <w:rPr>
          <w:sz w:val="22"/>
          <w:lang w:val="en-GB"/>
        </w:rPr>
        <w:t>–</w:t>
      </w:r>
      <w:r w:rsidRPr="00BD1069">
        <w:rPr>
          <w:sz w:val="22"/>
          <w:lang w:val="en-GB"/>
        </w:rPr>
        <w:t xml:space="preserve"> </w:t>
      </w:r>
      <w:r w:rsidR="006D0F23" w:rsidRPr="00BD1069">
        <w:rPr>
          <w:sz w:val="22"/>
          <w:lang w:val="en-GB"/>
        </w:rPr>
        <w:t>since</w:t>
      </w:r>
      <w:r w:rsidR="004D6DBD">
        <w:rPr>
          <w:sz w:val="22"/>
          <w:lang w:val="en-GB"/>
        </w:rPr>
        <w:t xml:space="preserve"> </w:t>
      </w:r>
      <w:r w:rsidRPr="00BD1069">
        <w:rPr>
          <w:sz w:val="22"/>
          <w:lang w:val="en-GB"/>
        </w:rPr>
        <w:t xml:space="preserve">it has not yet been explored </w:t>
      </w:r>
      <w:r w:rsidR="004D6DBD">
        <w:rPr>
          <w:sz w:val="22"/>
          <w:lang w:val="en-GB"/>
        </w:rPr>
        <w:t>–</w:t>
      </w:r>
      <w:r w:rsidRPr="00BD1069">
        <w:rPr>
          <w:sz w:val="22"/>
          <w:lang w:val="en-GB"/>
        </w:rPr>
        <w:t xml:space="preserve"> and</w:t>
      </w:r>
      <w:r w:rsidR="004D6DBD">
        <w:rPr>
          <w:sz w:val="22"/>
          <w:lang w:val="en-GB"/>
        </w:rPr>
        <w:t xml:space="preserve"> </w:t>
      </w:r>
      <w:r w:rsidRPr="00BD1069">
        <w:rPr>
          <w:sz w:val="22"/>
          <w:lang w:val="en-GB"/>
        </w:rPr>
        <w:t xml:space="preserve">a crucial one </w:t>
      </w:r>
      <w:r w:rsidR="004D6DBD">
        <w:rPr>
          <w:sz w:val="22"/>
          <w:lang w:val="en-GB"/>
        </w:rPr>
        <w:t>–</w:t>
      </w:r>
      <w:r w:rsidRPr="00BD1069">
        <w:rPr>
          <w:sz w:val="22"/>
          <w:lang w:val="en-GB"/>
        </w:rPr>
        <w:t xml:space="preserve"> </w:t>
      </w:r>
      <w:r w:rsidR="006D0F23" w:rsidRPr="00BD1069">
        <w:rPr>
          <w:sz w:val="22"/>
          <w:lang w:val="en-GB"/>
        </w:rPr>
        <w:t>since</w:t>
      </w:r>
      <w:r w:rsidR="004D6DBD">
        <w:rPr>
          <w:sz w:val="22"/>
          <w:lang w:val="en-GB"/>
        </w:rPr>
        <w:t xml:space="preserve"> </w:t>
      </w:r>
      <w:r w:rsidRPr="00BD1069">
        <w:rPr>
          <w:sz w:val="22"/>
          <w:lang w:val="en-GB"/>
        </w:rPr>
        <w:t>it anticipates the degree of acceptability of coope</w:t>
      </w:r>
      <w:r w:rsidR="00FE311D" w:rsidRPr="00BD1069">
        <w:rPr>
          <w:sz w:val="22"/>
          <w:lang w:val="en-GB"/>
        </w:rPr>
        <w:t>ti</w:t>
      </w:r>
      <w:r w:rsidRPr="00BD1069">
        <w:rPr>
          <w:sz w:val="22"/>
          <w:lang w:val="en-GB"/>
        </w:rPr>
        <w:t xml:space="preserve">tion by the employees themselves. </w:t>
      </w:r>
      <w:r w:rsidR="00B47069">
        <w:rPr>
          <w:sz w:val="22"/>
          <w:lang w:val="en-GB"/>
        </w:rPr>
        <w:t>Second</w:t>
      </w:r>
      <w:r w:rsidRPr="00BD1069">
        <w:rPr>
          <w:sz w:val="22"/>
          <w:lang w:val="en-GB"/>
        </w:rPr>
        <w:t>, our research addresses th</w:t>
      </w:r>
      <w:r w:rsidR="00B47069">
        <w:rPr>
          <w:sz w:val="22"/>
          <w:lang w:val="en-GB"/>
        </w:rPr>
        <w:t>e</w:t>
      </w:r>
      <w:r w:rsidRPr="00BD1069">
        <w:rPr>
          <w:sz w:val="22"/>
          <w:lang w:val="en-GB"/>
        </w:rPr>
        <w:t xml:space="preserve"> perception of coope</w:t>
      </w:r>
      <w:r w:rsidR="006D0F23" w:rsidRPr="00BD1069">
        <w:rPr>
          <w:sz w:val="22"/>
          <w:lang w:val="en-GB"/>
        </w:rPr>
        <w:t>ti</w:t>
      </w:r>
      <w:r w:rsidRPr="00BD1069">
        <w:rPr>
          <w:sz w:val="22"/>
          <w:lang w:val="en-GB"/>
        </w:rPr>
        <w:t xml:space="preserve">tive relations at </w:t>
      </w:r>
      <w:r w:rsidR="00B47069">
        <w:rPr>
          <w:sz w:val="22"/>
          <w:lang w:val="en-GB"/>
        </w:rPr>
        <w:t>the</w:t>
      </w:r>
      <w:r w:rsidRPr="00BD1069">
        <w:rPr>
          <w:sz w:val="22"/>
          <w:lang w:val="en-GB"/>
        </w:rPr>
        <w:t xml:space="preserve"> </w:t>
      </w:r>
      <w:r w:rsidR="00D709F8">
        <w:rPr>
          <w:sz w:val="22"/>
          <w:lang w:val="en-GB"/>
        </w:rPr>
        <w:t>individual</w:t>
      </w:r>
      <w:r w:rsidRPr="00BD1069">
        <w:rPr>
          <w:sz w:val="22"/>
          <w:lang w:val="en-GB"/>
        </w:rPr>
        <w:t xml:space="preserve"> level</w:t>
      </w:r>
      <w:r w:rsidR="00B47069">
        <w:rPr>
          <w:sz w:val="22"/>
          <w:lang w:val="en-GB"/>
        </w:rPr>
        <w:t>, which is still understudied</w:t>
      </w:r>
      <w:r w:rsidRPr="00BD1069">
        <w:rPr>
          <w:sz w:val="22"/>
          <w:lang w:val="en-GB"/>
        </w:rPr>
        <w:t xml:space="preserve">. Several </w:t>
      </w:r>
      <w:r w:rsidR="006D0F23" w:rsidRPr="00BD1069">
        <w:rPr>
          <w:sz w:val="22"/>
          <w:lang w:val="en-GB"/>
        </w:rPr>
        <w:t xml:space="preserve">managerial </w:t>
      </w:r>
      <w:r w:rsidRPr="00BD1069">
        <w:rPr>
          <w:sz w:val="22"/>
          <w:lang w:val="en-GB"/>
        </w:rPr>
        <w:t xml:space="preserve">recommendations are </w:t>
      </w:r>
      <w:r w:rsidR="00D709F8">
        <w:rPr>
          <w:sz w:val="22"/>
          <w:lang w:val="en-GB"/>
        </w:rPr>
        <w:t>thus</w:t>
      </w:r>
      <w:r w:rsidRPr="00BD1069">
        <w:rPr>
          <w:sz w:val="22"/>
          <w:lang w:val="en-GB"/>
        </w:rPr>
        <w:t xml:space="preserve"> </w:t>
      </w:r>
      <w:r w:rsidR="00D709F8">
        <w:rPr>
          <w:sz w:val="22"/>
          <w:lang w:val="en-GB"/>
        </w:rPr>
        <w:t>formulated</w:t>
      </w:r>
      <w:r w:rsidRPr="00BD1069">
        <w:rPr>
          <w:sz w:val="22"/>
          <w:lang w:val="en-GB"/>
        </w:rPr>
        <w:t xml:space="preserve"> for</w:t>
      </w:r>
      <w:r w:rsidR="00D709F8">
        <w:rPr>
          <w:sz w:val="22"/>
          <w:lang w:val="en-GB"/>
        </w:rPr>
        <w:t xml:space="preserve"> top management</w:t>
      </w:r>
      <w:r w:rsidRPr="00BD1069">
        <w:rPr>
          <w:sz w:val="22"/>
          <w:lang w:val="en-GB"/>
        </w:rPr>
        <w:t xml:space="preserve"> teams that </w:t>
      </w:r>
      <w:r w:rsidR="006D0F23" w:rsidRPr="00BD1069">
        <w:rPr>
          <w:sz w:val="22"/>
          <w:lang w:val="en-GB"/>
        </w:rPr>
        <w:t>develop</w:t>
      </w:r>
      <w:r w:rsidRPr="00BD1069">
        <w:rPr>
          <w:sz w:val="22"/>
          <w:lang w:val="en-GB"/>
        </w:rPr>
        <w:t xml:space="preserve"> coope</w:t>
      </w:r>
      <w:r w:rsidR="006D0F23" w:rsidRPr="00BD1069">
        <w:rPr>
          <w:sz w:val="22"/>
          <w:lang w:val="en-GB"/>
        </w:rPr>
        <w:t>ti</w:t>
      </w:r>
      <w:r w:rsidRPr="00BD1069">
        <w:rPr>
          <w:sz w:val="22"/>
          <w:lang w:val="en-GB"/>
        </w:rPr>
        <w:t>tive projects.</w:t>
      </w:r>
    </w:p>
    <w:p w14:paraId="5E1D1982" w14:textId="77777777" w:rsidR="003925F4" w:rsidRPr="00BD1069" w:rsidRDefault="003925F4" w:rsidP="003925F4">
      <w:pPr>
        <w:rPr>
          <w:b/>
          <w:sz w:val="22"/>
          <w:lang w:val="en-GB"/>
        </w:rPr>
      </w:pPr>
    </w:p>
    <w:p w14:paraId="6F2BB167" w14:textId="7A89A83D" w:rsidR="00AF5CF6" w:rsidRPr="00D709F8" w:rsidRDefault="00F7389F" w:rsidP="00F7389F">
      <w:pPr>
        <w:rPr>
          <w:lang w:val="en-GB"/>
        </w:rPr>
      </w:pPr>
      <w:r w:rsidRPr="00D709F8">
        <w:rPr>
          <w:b/>
          <w:sz w:val="22"/>
          <w:lang w:val="en-GB"/>
        </w:rPr>
        <w:t>Key words</w:t>
      </w:r>
      <w:r w:rsidR="00BD1069" w:rsidRPr="00D709F8">
        <w:rPr>
          <w:b/>
          <w:sz w:val="22"/>
          <w:lang w:val="en-GB"/>
        </w:rPr>
        <w:t xml:space="preserve">: </w:t>
      </w:r>
      <w:r w:rsidRPr="00D709F8">
        <w:rPr>
          <w:sz w:val="22"/>
          <w:lang w:val="en-GB"/>
        </w:rPr>
        <w:t>Coopetition, Alliance, Social representations, Perceptions, Tensions</w:t>
      </w:r>
      <w:r w:rsidR="00AF5CF6" w:rsidRPr="00D709F8">
        <w:rPr>
          <w:lang w:val="en-GB"/>
        </w:rPr>
        <w:br w:type="page"/>
      </w:r>
    </w:p>
    <w:p w14:paraId="7A41A76A" w14:textId="5323A091" w:rsidR="00374F96" w:rsidRDefault="00374F96" w:rsidP="00D26FB9">
      <w:pPr>
        <w:pStyle w:val="Titre1"/>
        <w:numPr>
          <w:ilvl w:val="0"/>
          <w:numId w:val="0"/>
        </w:numPr>
      </w:pPr>
      <w:r>
        <w:lastRenderedPageBreak/>
        <w:t>Introduction</w:t>
      </w:r>
    </w:p>
    <w:p w14:paraId="43C07608" w14:textId="5E241E3C" w:rsidR="00695A1B" w:rsidRDefault="00374F96" w:rsidP="00374F96">
      <w:pPr>
        <w:rPr>
          <w:lang w:eastAsia="en-US"/>
        </w:rPr>
      </w:pPr>
      <w:r>
        <w:rPr>
          <w:lang w:eastAsia="en-US"/>
        </w:rPr>
        <w:t xml:space="preserve">La coopération entre des </w:t>
      </w:r>
      <w:r w:rsidR="00185D03">
        <w:rPr>
          <w:lang w:eastAsia="en-US"/>
        </w:rPr>
        <w:t>organisations</w:t>
      </w:r>
      <w:r>
        <w:rPr>
          <w:lang w:eastAsia="en-US"/>
        </w:rPr>
        <w:t xml:space="preserve"> concurrentes </w:t>
      </w:r>
      <w:r w:rsidR="00185D03">
        <w:rPr>
          <w:lang w:eastAsia="en-US"/>
        </w:rPr>
        <w:t>gén</w:t>
      </w:r>
      <w:r w:rsidR="007C32D5">
        <w:rPr>
          <w:lang w:eastAsia="en-US"/>
        </w:rPr>
        <w:t>è</w:t>
      </w:r>
      <w:r w:rsidR="00185D03">
        <w:rPr>
          <w:lang w:eastAsia="en-US"/>
        </w:rPr>
        <w:t>r</w:t>
      </w:r>
      <w:r w:rsidR="007C32D5">
        <w:rPr>
          <w:lang w:eastAsia="en-US"/>
        </w:rPr>
        <w:t>e</w:t>
      </w:r>
      <w:r w:rsidR="00185D03">
        <w:rPr>
          <w:lang w:eastAsia="en-US"/>
        </w:rPr>
        <w:t xml:space="preserve"> simultanément</w:t>
      </w:r>
      <w:r>
        <w:rPr>
          <w:lang w:eastAsia="en-US"/>
        </w:rPr>
        <w:t xml:space="preserve"> tensions compétitives et dynamique de collaboration</w:t>
      </w:r>
      <w:r w:rsidR="00185D03">
        <w:rPr>
          <w:lang w:eastAsia="en-US"/>
        </w:rPr>
        <w:t> ; c’est ce que la littérature étudie sous le terme de</w:t>
      </w:r>
      <w:r>
        <w:rPr>
          <w:lang w:eastAsia="en-US"/>
        </w:rPr>
        <w:t xml:space="preserve"> coopétition (</w:t>
      </w:r>
      <w:proofErr w:type="spellStart"/>
      <w:r>
        <w:rPr>
          <w:lang w:eastAsia="en-US"/>
        </w:rPr>
        <w:t>Bengtsson</w:t>
      </w:r>
      <w:proofErr w:type="spellEnd"/>
      <w:r>
        <w:rPr>
          <w:lang w:eastAsia="en-US"/>
        </w:rPr>
        <w:t xml:space="preserve"> &amp; </w:t>
      </w:r>
      <w:proofErr w:type="spellStart"/>
      <w:r>
        <w:rPr>
          <w:lang w:eastAsia="en-US"/>
        </w:rPr>
        <w:t>Raza-Ullah</w:t>
      </w:r>
      <w:proofErr w:type="spellEnd"/>
      <w:r>
        <w:rPr>
          <w:lang w:eastAsia="en-US"/>
        </w:rPr>
        <w:t>, 2016</w:t>
      </w:r>
      <w:r w:rsidR="00185D03">
        <w:rPr>
          <w:lang w:eastAsia="en-US"/>
        </w:rPr>
        <w:t xml:space="preserve"> ; </w:t>
      </w:r>
      <w:proofErr w:type="spellStart"/>
      <w:r w:rsidR="000925C6">
        <w:rPr>
          <w:lang w:eastAsia="en-US"/>
        </w:rPr>
        <w:t>Dorn</w:t>
      </w:r>
      <w:proofErr w:type="spellEnd"/>
      <w:r w:rsidR="000925C6">
        <w:rPr>
          <w:lang w:eastAsia="en-US"/>
        </w:rPr>
        <w:t xml:space="preserve"> et al., 2016 ; </w:t>
      </w:r>
      <w:proofErr w:type="spellStart"/>
      <w:r w:rsidR="00185D03">
        <w:rPr>
          <w:lang w:eastAsia="en-US"/>
        </w:rPr>
        <w:t>Gnyawali</w:t>
      </w:r>
      <w:proofErr w:type="spellEnd"/>
      <w:r w:rsidR="00185D03">
        <w:rPr>
          <w:lang w:eastAsia="en-US"/>
        </w:rPr>
        <w:t xml:space="preserve"> &amp; Ryan</w:t>
      </w:r>
      <w:r w:rsidR="00DC3D78">
        <w:rPr>
          <w:lang w:eastAsia="en-US"/>
        </w:rPr>
        <w:t xml:space="preserve"> </w:t>
      </w:r>
      <w:proofErr w:type="spellStart"/>
      <w:r w:rsidR="00185D03">
        <w:rPr>
          <w:lang w:eastAsia="en-US"/>
        </w:rPr>
        <w:t>Charleton</w:t>
      </w:r>
      <w:proofErr w:type="spellEnd"/>
      <w:r w:rsidR="00185D03">
        <w:rPr>
          <w:lang w:eastAsia="en-US"/>
        </w:rPr>
        <w:t>, 2018</w:t>
      </w:r>
      <w:r>
        <w:rPr>
          <w:lang w:eastAsia="en-US"/>
        </w:rPr>
        <w:t>). Cette stratégie</w:t>
      </w:r>
      <w:r w:rsidR="00185D03">
        <w:rPr>
          <w:lang w:eastAsia="en-US"/>
        </w:rPr>
        <w:t xml:space="preserve"> paradoxale</w:t>
      </w:r>
      <w:r>
        <w:rPr>
          <w:lang w:eastAsia="en-US"/>
        </w:rPr>
        <w:t xml:space="preserve"> a des incidences à différents niveaux : si elle vise </w:t>
      </w:r>
      <w:r w:rsidR="00185D03">
        <w:rPr>
          <w:lang w:eastAsia="en-US"/>
        </w:rPr>
        <w:t>une création de valeur</w:t>
      </w:r>
      <w:r>
        <w:rPr>
          <w:lang w:eastAsia="en-US"/>
        </w:rPr>
        <w:t xml:space="preserve">, </w:t>
      </w:r>
      <w:r w:rsidR="00185D03">
        <w:rPr>
          <w:lang w:eastAsia="en-US"/>
        </w:rPr>
        <w:t xml:space="preserve">elle </w:t>
      </w:r>
      <w:r w:rsidR="007C32D5">
        <w:rPr>
          <w:lang w:eastAsia="en-US"/>
        </w:rPr>
        <w:t>conduit</w:t>
      </w:r>
      <w:r w:rsidR="00185D03">
        <w:rPr>
          <w:lang w:eastAsia="en-US"/>
        </w:rPr>
        <w:t xml:space="preserve"> également</w:t>
      </w:r>
      <w:r w:rsidR="007C32D5">
        <w:rPr>
          <w:lang w:eastAsia="en-US"/>
        </w:rPr>
        <w:t xml:space="preserve"> à</w:t>
      </w:r>
      <w:r w:rsidR="00185D03">
        <w:rPr>
          <w:lang w:eastAsia="en-US"/>
        </w:rPr>
        <w:t xml:space="preserve"> des tensions au</w:t>
      </w:r>
      <w:r w:rsidR="007C32D5">
        <w:rPr>
          <w:lang w:eastAsia="en-US"/>
        </w:rPr>
        <w:t>x</w:t>
      </w:r>
      <w:r w:rsidR="00185D03">
        <w:rPr>
          <w:lang w:eastAsia="en-US"/>
        </w:rPr>
        <w:t xml:space="preserve"> niveau</w:t>
      </w:r>
      <w:r w:rsidR="007C32D5">
        <w:rPr>
          <w:lang w:eastAsia="en-US"/>
        </w:rPr>
        <w:t>x</w:t>
      </w:r>
      <w:r w:rsidR="00185D03">
        <w:rPr>
          <w:lang w:eastAsia="en-US"/>
        </w:rPr>
        <w:t xml:space="preserve"> inter et intra-organisationnels (Chou &amp; </w:t>
      </w:r>
      <w:proofErr w:type="spellStart"/>
      <w:r w:rsidR="00185D03">
        <w:rPr>
          <w:lang w:eastAsia="en-US"/>
        </w:rPr>
        <w:t>Zolkiewski</w:t>
      </w:r>
      <w:proofErr w:type="spellEnd"/>
      <w:r w:rsidR="00185D03">
        <w:rPr>
          <w:lang w:eastAsia="en-US"/>
        </w:rPr>
        <w:t xml:space="preserve">, 2018 ; Fernandez et al., 2014). </w:t>
      </w:r>
    </w:p>
    <w:p w14:paraId="497CF9BB" w14:textId="77777777" w:rsidR="0039597F" w:rsidRDefault="0039597F" w:rsidP="00374F96">
      <w:pPr>
        <w:rPr>
          <w:lang w:eastAsia="en-US"/>
        </w:rPr>
      </w:pPr>
      <w:r>
        <w:rPr>
          <w:lang w:eastAsia="en-US"/>
        </w:rPr>
        <w:t>L</w:t>
      </w:r>
      <w:r w:rsidR="00185D03">
        <w:rPr>
          <w:lang w:eastAsia="en-US"/>
        </w:rPr>
        <w:t>a littérature</w:t>
      </w:r>
      <w:r>
        <w:rPr>
          <w:lang w:eastAsia="en-US"/>
        </w:rPr>
        <w:t xml:space="preserve"> récente</w:t>
      </w:r>
      <w:r w:rsidR="001E245E">
        <w:rPr>
          <w:lang w:eastAsia="en-US"/>
        </w:rPr>
        <w:t xml:space="preserve"> s’intéresse</w:t>
      </w:r>
      <w:r>
        <w:rPr>
          <w:lang w:eastAsia="en-US"/>
        </w:rPr>
        <w:t xml:space="preserve"> notamment</w:t>
      </w:r>
      <w:r w:rsidR="001E245E">
        <w:rPr>
          <w:lang w:eastAsia="en-US"/>
        </w:rPr>
        <w:t xml:space="preserve"> à la </w:t>
      </w:r>
      <w:r w:rsidR="00F14668">
        <w:rPr>
          <w:lang w:eastAsia="en-US"/>
        </w:rPr>
        <w:t>capacité de</w:t>
      </w:r>
      <w:r w:rsidR="001E245E">
        <w:rPr>
          <w:lang w:eastAsia="en-US"/>
        </w:rPr>
        <w:t xml:space="preserve"> coopéti</w:t>
      </w:r>
      <w:r w:rsidR="00F14668">
        <w:rPr>
          <w:lang w:eastAsia="en-US"/>
        </w:rPr>
        <w:t>tion</w:t>
      </w:r>
      <w:r w:rsidR="001E245E">
        <w:rPr>
          <w:lang w:eastAsia="en-US"/>
        </w:rPr>
        <w:t xml:space="preserve"> (</w:t>
      </w:r>
      <w:proofErr w:type="spellStart"/>
      <w:r w:rsidR="001E245E" w:rsidRPr="00F14668">
        <w:rPr>
          <w:i/>
          <w:lang w:eastAsia="en-US"/>
        </w:rPr>
        <w:t>coopetition</w:t>
      </w:r>
      <w:proofErr w:type="spellEnd"/>
      <w:r w:rsidR="001E245E" w:rsidRPr="00F14668">
        <w:rPr>
          <w:i/>
          <w:lang w:eastAsia="en-US"/>
        </w:rPr>
        <w:t xml:space="preserve"> </w:t>
      </w:r>
      <w:proofErr w:type="spellStart"/>
      <w:r w:rsidR="001E245E" w:rsidRPr="00F14668">
        <w:rPr>
          <w:i/>
          <w:lang w:eastAsia="en-US"/>
        </w:rPr>
        <w:t>capability</w:t>
      </w:r>
      <w:proofErr w:type="spellEnd"/>
      <w:r w:rsidR="001E245E">
        <w:rPr>
          <w:lang w:eastAsia="en-US"/>
        </w:rPr>
        <w:t>), c’est-à-dire la capacité, pour un dirigeant</w:t>
      </w:r>
      <w:r w:rsidR="00783142">
        <w:rPr>
          <w:lang w:eastAsia="en-US"/>
        </w:rPr>
        <w:t>,</w:t>
      </w:r>
      <w:r w:rsidR="001E245E">
        <w:rPr>
          <w:lang w:eastAsia="en-US"/>
        </w:rPr>
        <w:t xml:space="preserve"> à gérer les tensions inhérentes à la stratégie coopétitive initiée dans son organisation (</w:t>
      </w:r>
      <w:proofErr w:type="spellStart"/>
      <w:r w:rsidR="001E245E">
        <w:rPr>
          <w:lang w:eastAsia="en-US"/>
        </w:rPr>
        <w:t>Bengtsson</w:t>
      </w:r>
      <w:proofErr w:type="spellEnd"/>
      <w:r w:rsidR="001E245E">
        <w:rPr>
          <w:lang w:eastAsia="en-US"/>
        </w:rPr>
        <w:t xml:space="preserve"> et al., 2016</w:t>
      </w:r>
      <w:r>
        <w:rPr>
          <w:lang w:eastAsia="en-US"/>
        </w:rPr>
        <w:t xml:space="preserve"> ; </w:t>
      </w:r>
      <w:proofErr w:type="spellStart"/>
      <w:r>
        <w:rPr>
          <w:lang w:eastAsia="en-US"/>
        </w:rPr>
        <w:t>Bengtsson</w:t>
      </w:r>
      <w:proofErr w:type="spellEnd"/>
      <w:r>
        <w:rPr>
          <w:lang w:eastAsia="en-US"/>
        </w:rPr>
        <w:t xml:space="preserve"> et al., 2020</w:t>
      </w:r>
      <w:r w:rsidR="00783142">
        <w:rPr>
          <w:lang w:eastAsia="en-US"/>
        </w:rPr>
        <w:t>). En revanche</w:t>
      </w:r>
      <w:r w:rsidR="001E245E">
        <w:rPr>
          <w:lang w:eastAsia="en-US"/>
        </w:rPr>
        <w:t xml:space="preserve"> peu d’études s’intéressent aux perceptions de la coopétition par les collaborateurs eux-mêmes. Si celles-ci semblent dépendre de la situation coopétitive d’une part (plus ou moins imposée ou spontanée) et des groupes sociaux auxquels les collaborateurs appartiennent d’autre part (</w:t>
      </w:r>
      <w:proofErr w:type="spellStart"/>
      <w:r w:rsidR="001E245E">
        <w:rPr>
          <w:lang w:eastAsia="en-US"/>
        </w:rPr>
        <w:t>Albert-Cromarias</w:t>
      </w:r>
      <w:proofErr w:type="spellEnd"/>
      <w:r w:rsidR="001E245E">
        <w:rPr>
          <w:lang w:eastAsia="en-US"/>
        </w:rPr>
        <w:t xml:space="preserve"> &amp; Dos Santos, 2020), ces perceptions sont exprimées par des collaborateurs qui expérimentent, au quotidien, les paradoxes inhérents à la coopétition en place. </w:t>
      </w:r>
      <w:r>
        <w:rPr>
          <w:lang w:eastAsia="en-US"/>
        </w:rPr>
        <w:t>Q</w:t>
      </w:r>
      <w:r w:rsidR="001E245E">
        <w:rPr>
          <w:lang w:eastAsia="en-US"/>
        </w:rPr>
        <w:t xml:space="preserve">u’en est-il de la représentation que pourraient avoir des collaborateurs en amont d’un projet de coopétition ? </w:t>
      </w:r>
    </w:p>
    <w:p w14:paraId="5A855931" w14:textId="3A28BBCC" w:rsidR="00783142" w:rsidRDefault="00783142" w:rsidP="00374F96">
      <w:r>
        <w:rPr>
          <w:lang w:eastAsia="en-US"/>
        </w:rPr>
        <w:t>C</w:t>
      </w:r>
      <w:r w:rsidR="001E245E">
        <w:rPr>
          <w:lang w:eastAsia="en-US"/>
        </w:rPr>
        <w:t xml:space="preserve">ette recherche vise </w:t>
      </w:r>
      <w:r>
        <w:rPr>
          <w:lang w:eastAsia="en-US"/>
        </w:rPr>
        <w:t xml:space="preserve">donc </w:t>
      </w:r>
      <w:r w:rsidR="001E245E">
        <w:rPr>
          <w:lang w:eastAsia="en-US"/>
        </w:rPr>
        <w:t xml:space="preserve">à étudier comment un projet de coopétition </w:t>
      </w:r>
      <w:r>
        <w:rPr>
          <w:lang w:eastAsia="en-US"/>
        </w:rPr>
        <w:t>est</w:t>
      </w:r>
      <w:r w:rsidR="001E245E">
        <w:rPr>
          <w:lang w:eastAsia="en-US"/>
        </w:rPr>
        <w:t xml:space="preserve"> perçu par les collaborateurs concernés, avant même que celui-ci soit réellement mis en œuvre.</w:t>
      </w:r>
      <w:r w:rsidR="00695A1B">
        <w:rPr>
          <w:lang w:eastAsia="en-US"/>
        </w:rPr>
        <w:t xml:space="preserve"> Il s’agit donc de repérer les représentations sociales d</w:t>
      </w:r>
      <w:r w:rsidR="004D6DBD">
        <w:rPr>
          <w:lang w:eastAsia="en-US"/>
        </w:rPr>
        <w:t>e la coopétition, c’est-à-dire</w:t>
      </w:r>
      <w:r w:rsidR="00695A1B">
        <w:rPr>
          <w:lang w:eastAsia="en-US"/>
        </w:rPr>
        <w:t xml:space="preserve"> les </w:t>
      </w:r>
      <w:r w:rsidR="00695A1B">
        <w:t xml:space="preserve">principes </w:t>
      </w:r>
      <w:r w:rsidR="004D6DBD">
        <w:t>qui génèrent une</w:t>
      </w:r>
      <w:r w:rsidR="00695A1B">
        <w:t xml:space="preserve"> prise de position </w:t>
      </w:r>
      <w:r w:rsidR="004D6DBD">
        <w:t>par les acteurs</w:t>
      </w:r>
      <w:r w:rsidR="00695A1B">
        <w:t xml:space="preserve"> (</w:t>
      </w:r>
      <w:r w:rsidR="00142A25">
        <w:t>Lo Monaco</w:t>
      </w:r>
      <w:r w:rsidR="00695A1B">
        <w:t xml:space="preserve"> et al., 2016)</w:t>
      </w:r>
      <w:r w:rsidR="004D6DBD">
        <w:t>, en l’occurrence, ici, les collaborateurs</w:t>
      </w:r>
      <w:r w:rsidR="00695A1B">
        <w:t xml:space="preserve">. </w:t>
      </w:r>
      <w:r w:rsidR="001E245E">
        <w:rPr>
          <w:lang w:eastAsia="en-US"/>
        </w:rPr>
        <w:t>Cette étape s’avère particulièrement cruciale pour un</w:t>
      </w:r>
      <w:r w:rsidR="00374F96">
        <w:rPr>
          <w:lang w:eastAsia="en-US"/>
        </w:rPr>
        <w:t xml:space="preserve"> dirigeant, </w:t>
      </w:r>
      <w:r w:rsidR="001E245E">
        <w:rPr>
          <w:lang w:eastAsia="en-US"/>
        </w:rPr>
        <w:t xml:space="preserve">afin </w:t>
      </w:r>
      <w:r w:rsidR="00374F96">
        <w:rPr>
          <w:lang w:eastAsia="en-US"/>
        </w:rPr>
        <w:t>de capter ce n</w:t>
      </w:r>
      <w:r w:rsidR="001E245E">
        <w:rPr>
          <w:lang w:eastAsia="en-US"/>
        </w:rPr>
        <w:t>iveau de tension interne</w:t>
      </w:r>
      <w:r w:rsidR="008739E4">
        <w:rPr>
          <w:lang w:eastAsia="en-US"/>
        </w:rPr>
        <w:t xml:space="preserve"> préalable</w:t>
      </w:r>
      <w:r w:rsidR="001E245E">
        <w:rPr>
          <w:lang w:eastAsia="en-US"/>
        </w:rPr>
        <w:t xml:space="preserve"> et de mieux anticiper le niveau d’acceptabilité d’un tel projet pour ses équipes.</w:t>
      </w:r>
      <w:r w:rsidR="00695A1B">
        <w:rPr>
          <w:lang w:eastAsia="en-US"/>
        </w:rPr>
        <w:t xml:space="preserve"> </w:t>
      </w:r>
      <w:r w:rsidR="00FA1B87">
        <w:rPr>
          <w:lang w:eastAsia="en-US"/>
        </w:rPr>
        <w:t>Notre question de recherche est donc la suivante :</w:t>
      </w:r>
      <w:r w:rsidR="00133B7C">
        <w:rPr>
          <w:lang w:eastAsia="en-US"/>
        </w:rPr>
        <w:t xml:space="preserve"> </w:t>
      </w:r>
      <w:r w:rsidR="00133B7C" w:rsidRPr="00133B7C">
        <w:rPr>
          <w:i/>
        </w:rPr>
        <w:t>quelles sont les représentations sociales de la coopétition par les collaborateurs d’une organisation qui va s’engager dans un projet coopétitif ?</w:t>
      </w:r>
      <w:r w:rsidR="00133B7C" w:rsidRPr="00E35954">
        <w:rPr>
          <w:i/>
        </w:rPr>
        <w:t xml:space="preserve"> </w:t>
      </w:r>
    </w:p>
    <w:p w14:paraId="48BB99F9" w14:textId="117E5C0C" w:rsidR="00695A1B" w:rsidRDefault="00783142" w:rsidP="00374F96">
      <w:pPr>
        <w:rPr>
          <w:lang w:eastAsia="en-US"/>
        </w:rPr>
      </w:pPr>
      <w:r>
        <w:rPr>
          <w:lang w:eastAsia="en-US"/>
        </w:rPr>
        <w:t>N</w:t>
      </w:r>
      <w:r w:rsidR="00695A1B">
        <w:rPr>
          <w:lang w:eastAsia="en-US"/>
        </w:rPr>
        <w:t>otre étude, qualitative, porte plus particulièrement sur le regroupement sous forme d</w:t>
      </w:r>
      <w:r w:rsidR="004D6DBD">
        <w:rPr>
          <w:lang w:eastAsia="en-US"/>
        </w:rPr>
        <w:t>’un</w:t>
      </w:r>
      <w:r w:rsidR="00695A1B">
        <w:rPr>
          <w:lang w:eastAsia="en-US"/>
        </w:rPr>
        <w:t xml:space="preserve"> GIE de trois instituts de formation en ostéopathie. Elle vise, </w:t>
      </w:r>
      <w:r>
        <w:rPr>
          <w:lang w:eastAsia="en-US"/>
        </w:rPr>
        <w:t>par</w:t>
      </w:r>
      <w:r w:rsidR="00695A1B">
        <w:rPr>
          <w:lang w:eastAsia="en-US"/>
        </w:rPr>
        <w:t xml:space="preserve"> une approche compréhensive (Dana &amp; Dumez, 2015)</w:t>
      </w:r>
      <w:r>
        <w:rPr>
          <w:lang w:eastAsia="en-US"/>
        </w:rPr>
        <w:t>,</w:t>
      </w:r>
      <w:r w:rsidR="00695A1B">
        <w:rPr>
          <w:lang w:eastAsia="en-US"/>
        </w:rPr>
        <w:t xml:space="preserve"> à décrire et expliquer un phénomène</w:t>
      </w:r>
      <w:r>
        <w:rPr>
          <w:lang w:eastAsia="en-US"/>
        </w:rPr>
        <w:t xml:space="preserve"> encore</w:t>
      </w:r>
      <w:r w:rsidR="00695A1B">
        <w:rPr>
          <w:lang w:eastAsia="en-US"/>
        </w:rPr>
        <w:t xml:space="preserve"> mal </w:t>
      </w:r>
      <w:r>
        <w:rPr>
          <w:lang w:eastAsia="en-US"/>
        </w:rPr>
        <w:t>documenté</w:t>
      </w:r>
      <w:r w:rsidR="004D6DBD">
        <w:rPr>
          <w:lang w:eastAsia="en-US"/>
        </w:rPr>
        <w:t>. Elle</w:t>
      </w:r>
      <w:r w:rsidR="00695A1B">
        <w:rPr>
          <w:lang w:eastAsia="en-US"/>
        </w:rPr>
        <w:t xml:space="preserve"> utilise pour cela deux outils de recueil de données complémentaires : des questionnaires d’association sémantique et des entretiens semi-directifs. Ceux-ci nous permettent de </w:t>
      </w:r>
      <w:r>
        <w:rPr>
          <w:lang w:eastAsia="en-US"/>
        </w:rPr>
        <w:t xml:space="preserve">repérer les représentations sociales, par les collaborateurs de ces trois instituts, de l’alliance coopétitive en construction, tout en identifiant </w:t>
      </w:r>
      <w:r w:rsidR="00695A1B">
        <w:rPr>
          <w:lang w:eastAsia="en-US"/>
        </w:rPr>
        <w:t>les attentes et les contraintes projetées.</w:t>
      </w:r>
    </w:p>
    <w:p w14:paraId="600EB1E2" w14:textId="51EA1C9C" w:rsidR="008739E4" w:rsidRDefault="008739E4" w:rsidP="008739E4">
      <w:r>
        <w:rPr>
          <w:lang w:eastAsia="en-US"/>
        </w:rPr>
        <w:lastRenderedPageBreak/>
        <w:t xml:space="preserve">Dans le cas étudié, nous notons que des attentes positives sont majoritairement exprimées, malgré quelques inquiétudes sous-jacentes. Ainsi, malgré les tensions régulièrement mises en avant par la littérature, les </w:t>
      </w:r>
      <w:r>
        <w:t xml:space="preserve">représentations associées à la coopétition peuvent être tout à fait positives, rejoignant l’harmonie repérée par Chou et </w:t>
      </w:r>
      <w:proofErr w:type="spellStart"/>
      <w:r>
        <w:t>Zolkiewski</w:t>
      </w:r>
      <w:proofErr w:type="spellEnd"/>
      <w:r>
        <w:t xml:space="preserve"> (2018). </w:t>
      </w:r>
      <w:r w:rsidR="00DC3D78">
        <w:t xml:space="preserve">De </w:t>
      </w:r>
      <w:r w:rsidR="004D6DBD">
        <w:t>ce fait</w:t>
      </w:r>
      <w:r w:rsidR="00DC3D78">
        <w:t>, nos résultats contribuent à compléter un pan très peu exploré de la littérature sur la coopétition, en mettant l’accent sur la perception de cette dernière par les collaborateurs, directement concernés par sa mise en œuvre au sein de l’organisation.</w:t>
      </w:r>
    </w:p>
    <w:p w14:paraId="2ECB0F6F" w14:textId="74F622A4" w:rsidR="00695A1B" w:rsidRDefault="00695A1B" w:rsidP="00374F96">
      <w:pPr>
        <w:rPr>
          <w:lang w:eastAsia="en-US"/>
        </w:rPr>
      </w:pPr>
      <w:r>
        <w:rPr>
          <w:lang w:eastAsia="en-US"/>
        </w:rPr>
        <w:t xml:space="preserve">Dans une première partie, nous rappelons les avancées théoriques dans le champ de la coopétition et </w:t>
      </w:r>
      <w:r w:rsidR="00F14668">
        <w:rPr>
          <w:lang w:eastAsia="en-US"/>
        </w:rPr>
        <w:t xml:space="preserve">nous </w:t>
      </w:r>
      <w:r>
        <w:rPr>
          <w:lang w:eastAsia="en-US"/>
        </w:rPr>
        <w:t xml:space="preserve">montrons en quoi porter attention à la perception des collaborateurs s’avère crucial dans l’opérationnalisation d’une stratégie coopétitive. La seconde partie présente le design méthodologique de la recherche et le terrain étudié. La troisième partie fait état des résultats obtenus </w:t>
      </w:r>
      <w:r w:rsidR="00783142">
        <w:rPr>
          <w:lang w:eastAsia="en-US"/>
        </w:rPr>
        <w:t xml:space="preserve">en termes de représentations sociales. Une </w:t>
      </w:r>
      <w:r>
        <w:rPr>
          <w:lang w:eastAsia="en-US"/>
        </w:rPr>
        <w:t>discussion</w:t>
      </w:r>
      <w:r w:rsidR="00783142">
        <w:rPr>
          <w:lang w:eastAsia="en-US"/>
        </w:rPr>
        <w:t>, mettant notamment l’accent sur nos contributions, est proposée en partie quatre, avant de conclure notre propos.</w:t>
      </w:r>
    </w:p>
    <w:p w14:paraId="293243CB" w14:textId="77777777" w:rsidR="00695A1B" w:rsidRPr="00D26FB9" w:rsidRDefault="0039597F" w:rsidP="00D26FB9">
      <w:pPr>
        <w:pStyle w:val="Titre1"/>
      </w:pPr>
      <w:r w:rsidRPr="00D26FB9">
        <w:t>Cadre théorique et conceptuel</w:t>
      </w:r>
    </w:p>
    <w:p w14:paraId="085F78B3" w14:textId="77777777" w:rsidR="00374F96" w:rsidRDefault="005D74F8" w:rsidP="00D26FB9">
      <w:pPr>
        <w:pStyle w:val="Titre2"/>
      </w:pPr>
      <w:r>
        <w:t>La coopétition, un cadre théorique en construction</w:t>
      </w:r>
    </w:p>
    <w:p w14:paraId="617DC38E" w14:textId="0631B98E" w:rsidR="000C3588" w:rsidRDefault="000C3588" w:rsidP="000C3588">
      <w:r w:rsidRPr="007D277F">
        <w:t>La coopétition est un</w:t>
      </w:r>
      <w:r w:rsidR="003A3186">
        <w:t>e stratégie a</w:t>
      </w:r>
      <w:r w:rsidRPr="007D277F">
        <w:t>dopté</w:t>
      </w:r>
      <w:r w:rsidR="003A3186">
        <w:t>e</w:t>
      </w:r>
      <w:r w:rsidRPr="007D277F">
        <w:t xml:space="preserve"> par</w:t>
      </w:r>
      <w:r w:rsidR="003A3186">
        <w:t xml:space="preserve"> des </w:t>
      </w:r>
      <w:r w:rsidR="00385B62">
        <w:t>organisations</w:t>
      </w:r>
      <w:r w:rsidR="003A3186">
        <w:t xml:space="preserve"> en situation de concurrence, qui choisissent de coopérer sur certaines de leurs activités, en vue de créer et de s’approprier de la valeur </w:t>
      </w:r>
      <w:r w:rsidR="003A3186">
        <w:rPr>
          <w:lang w:eastAsia="en-US"/>
        </w:rPr>
        <w:t>(</w:t>
      </w:r>
      <w:proofErr w:type="spellStart"/>
      <w:r w:rsidR="003A3186">
        <w:rPr>
          <w:lang w:eastAsia="en-US"/>
        </w:rPr>
        <w:t>Bengtsson</w:t>
      </w:r>
      <w:proofErr w:type="spellEnd"/>
      <w:r w:rsidR="003A3186">
        <w:rPr>
          <w:lang w:eastAsia="en-US"/>
        </w:rPr>
        <w:t xml:space="preserve"> &amp; </w:t>
      </w:r>
      <w:proofErr w:type="spellStart"/>
      <w:r w:rsidR="003A3186">
        <w:rPr>
          <w:lang w:eastAsia="en-US"/>
        </w:rPr>
        <w:t>Raza-Ullah</w:t>
      </w:r>
      <w:proofErr w:type="spellEnd"/>
      <w:r w:rsidR="003A3186">
        <w:rPr>
          <w:lang w:eastAsia="en-US"/>
        </w:rPr>
        <w:t xml:space="preserve">, 2016 ; </w:t>
      </w:r>
      <w:proofErr w:type="spellStart"/>
      <w:r w:rsidR="003A3186">
        <w:rPr>
          <w:lang w:eastAsia="en-US"/>
        </w:rPr>
        <w:t>Gnyawali</w:t>
      </w:r>
      <w:proofErr w:type="spellEnd"/>
      <w:r w:rsidR="003A3186">
        <w:rPr>
          <w:lang w:eastAsia="en-US"/>
        </w:rPr>
        <w:t xml:space="preserve"> &amp; Ryan</w:t>
      </w:r>
      <w:r w:rsidR="00DC3D78">
        <w:rPr>
          <w:lang w:eastAsia="en-US"/>
        </w:rPr>
        <w:t xml:space="preserve"> </w:t>
      </w:r>
      <w:proofErr w:type="spellStart"/>
      <w:r w:rsidR="003A3186">
        <w:rPr>
          <w:lang w:eastAsia="en-US"/>
        </w:rPr>
        <w:t>Charleton</w:t>
      </w:r>
      <w:proofErr w:type="spellEnd"/>
      <w:r w:rsidR="003A3186">
        <w:rPr>
          <w:lang w:eastAsia="en-US"/>
        </w:rPr>
        <w:t xml:space="preserve">, 2018). Au plan académique, le terme </w:t>
      </w:r>
      <w:r w:rsidR="004953F7">
        <w:rPr>
          <w:lang w:eastAsia="en-US"/>
        </w:rPr>
        <w:t>est</w:t>
      </w:r>
      <w:r w:rsidR="003A3186">
        <w:rPr>
          <w:lang w:eastAsia="en-US"/>
        </w:rPr>
        <w:t xml:space="preserve"> initialement utilisé par </w:t>
      </w:r>
      <w:proofErr w:type="spellStart"/>
      <w:r w:rsidR="003A3186" w:rsidRPr="007D277F">
        <w:t>Nalebuff</w:t>
      </w:r>
      <w:proofErr w:type="spellEnd"/>
      <w:r w:rsidR="000925C6">
        <w:t xml:space="preserve"> et</w:t>
      </w:r>
      <w:r w:rsidR="003A3186" w:rsidRPr="007D277F">
        <w:t xml:space="preserve"> </w:t>
      </w:r>
      <w:proofErr w:type="spellStart"/>
      <w:r w:rsidR="000925C6" w:rsidRPr="007D277F">
        <w:t>Brandenburger</w:t>
      </w:r>
      <w:proofErr w:type="spellEnd"/>
      <w:r w:rsidR="000925C6" w:rsidRPr="007D277F">
        <w:t xml:space="preserve"> </w:t>
      </w:r>
      <w:r w:rsidR="003A3186" w:rsidRPr="007D277F">
        <w:t>(199</w:t>
      </w:r>
      <w:r w:rsidR="00142A25">
        <w:t>7</w:t>
      </w:r>
      <w:r w:rsidR="003A3186" w:rsidRPr="007D277F">
        <w:t>)</w:t>
      </w:r>
      <w:r w:rsidR="003A3186">
        <w:t>, afin de mettre en avant l’intérêt, pour des entreprises concurrentes, de développer, malgré tout, des complémentarités</w:t>
      </w:r>
      <w:r w:rsidR="003A3186" w:rsidRPr="007D277F">
        <w:t>.</w:t>
      </w:r>
      <w:r w:rsidR="003A3186">
        <w:t xml:space="preserve"> Ainsi, d</w:t>
      </w:r>
      <w:r w:rsidR="003A3186" w:rsidRPr="007D277F">
        <w:t>’un côté</w:t>
      </w:r>
      <w:r w:rsidR="003A3186">
        <w:t>,</w:t>
      </w:r>
      <w:r w:rsidR="003A3186" w:rsidRPr="007D277F">
        <w:t xml:space="preserve"> la coopération permet d’envisager la mise en commun de moyen</w:t>
      </w:r>
      <w:r w:rsidR="00B3225D">
        <w:t>s</w:t>
      </w:r>
      <w:r w:rsidR="003A3186" w:rsidRPr="007D277F">
        <w:t xml:space="preserve"> pour</w:t>
      </w:r>
      <w:r w:rsidR="003A3186">
        <w:t>,</w:t>
      </w:r>
      <w:r w:rsidR="003A3186" w:rsidRPr="007D277F">
        <w:t xml:space="preserve"> notamment</w:t>
      </w:r>
      <w:r w:rsidR="003A3186">
        <w:t>,</w:t>
      </w:r>
      <w:r w:rsidR="003A3186" w:rsidRPr="007D277F">
        <w:t xml:space="preserve"> réduire les coûts</w:t>
      </w:r>
      <w:r w:rsidR="003A3186">
        <w:t xml:space="preserve"> ou accéder à des ressources supplémentaires ; d</w:t>
      </w:r>
      <w:r w:rsidR="003A3186" w:rsidRPr="007D277F">
        <w:t>e l’autre côté, la compétition agit de manière efficace sur la stimulation de la performance et de la productivité.</w:t>
      </w:r>
      <w:r w:rsidR="003A3186">
        <w:t xml:space="preserve"> Ayant donné lieu à une abondante littérature depuis une vingtaine d’année</w:t>
      </w:r>
      <w:r w:rsidR="004D6DBD">
        <w:t>s</w:t>
      </w:r>
      <w:r w:rsidR="003A3186">
        <w:t xml:space="preserve"> (</w:t>
      </w:r>
      <w:proofErr w:type="spellStart"/>
      <w:r w:rsidR="009A4342">
        <w:t>Bengtsson</w:t>
      </w:r>
      <w:proofErr w:type="spellEnd"/>
      <w:r w:rsidR="009A4342">
        <w:t xml:space="preserve"> &amp; </w:t>
      </w:r>
      <w:proofErr w:type="spellStart"/>
      <w:r w:rsidR="009A4342">
        <w:t>Raza-Ullah</w:t>
      </w:r>
      <w:proofErr w:type="spellEnd"/>
      <w:r w:rsidR="009A4342">
        <w:t>, 2016</w:t>
      </w:r>
      <w:r w:rsidR="000925C6">
        <w:t xml:space="preserve"> ; </w:t>
      </w:r>
      <w:proofErr w:type="spellStart"/>
      <w:r w:rsidR="000925C6">
        <w:t>Dorn</w:t>
      </w:r>
      <w:proofErr w:type="spellEnd"/>
      <w:r w:rsidR="000925C6">
        <w:t xml:space="preserve"> et al., 2016</w:t>
      </w:r>
      <w:r w:rsidR="000F6129">
        <w:t>), la coopétition est aujourd’hui en passe d’être érigée au rang de théorie (</w:t>
      </w:r>
      <w:proofErr w:type="spellStart"/>
      <w:r w:rsidR="000F6129">
        <w:t>Gnyawali</w:t>
      </w:r>
      <w:proofErr w:type="spellEnd"/>
      <w:r w:rsidR="000F6129">
        <w:t xml:space="preserve"> &amp; </w:t>
      </w:r>
      <w:proofErr w:type="gramStart"/>
      <w:r w:rsidR="000F6129">
        <w:t>Ryan</w:t>
      </w:r>
      <w:r w:rsidR="00DC3D78">
        <w:t xml:space="preserve">  </w:t>
      </w:r>
      <w:proofErr w:type="spellStart"/>
      <w:r w:rsidR="000F6129">
        <w:t>Charleton</w:t>
      </w:r>
      <w:proofErr w:type="spellEnd"/>
      <w:proofErr w:type="gramEnd"/>
      <w:r w:rsidR="000F6129">
        <w:t xml:space="preserve">, 2018). Cependant, plusieurs facettes de la coopétition restent à explorer. Notamment, </w:t>
      </w:r>
      <w:r w:rsidR="003A3186">
        <w:t xml:space="preserve">face aux paradoxes </w:t>
      </w:r>
      <w:r w:rsidR="00B3225D">
        <w:t>inhérents à la coopétition</w:t>
      </w:r>
      <w:r w:rsidR="003A3186">
        <w:t xml:space="preserve">, </w:t>
      </w:r>
      <w:r w:rsidR="00385B62">
        <w:t xml:space="preserve">il s’avère que </w:t>
      </w:r>
      <w:r w:rsidR="003A3186">
        <w:t>t</w:t>
      </w:r>
      <w:r w:rsidRPr="007D277F">
        <w:t xml:space="preserve">outes les entreprises ne possèdent pas la même capacité à </w:t>
      </w:r>
      <w:r w:rsidR="004D6DBD">
        <w:t>faire d’u</w:t>
      </w:r>
      <w:r w:rsidR="000F6129">
        <w:t>n</w:t>
      </w:r>
      <w:r w:rsidR="00B3225D">
        <w:t>e telle stratégie</w:t>
      </w:r>
      <w:r w:rsidR="004D6DBD">
        <w:t xml:space="preserve"> un succès</w:t>
      </w:r>
      <w:r w:rsidR="000F6129">
        <w:t>, posant ainsi la question de la capacité à utiliser la coopétition comme une stratégie efficiente.</w:t>
      </w:r>
      <w:r w:rsidR="00385B62">
        <w:t xml:space="preserve"> En effet, p</w:t>
      </w:r>
      <w:r w:rsidRPr="007D277F">
        <w:t>enser la coopétition génère des tensions internes à l’entreprise du fait de la nature paradoxale de ces projets</w:t>
      </w:r>
      <w:r>
        <w:t xml:space="preserve">, </w:t>
      </w:r>
      <w:r w:rsidR="003A3186">
        <w:t>constitués simultanément de</w:t>
      </w:r>
      <w:r>
        <w:t xml:space="preserve"> coopération et </w:t>
      </w:r>
      <w:r w:rsidR="003A3186">
        <w:t>de</w:t>
      </w:r>
      <w:r>
        <w:t xml:space="preserve"> compétition</w:t>
      </w:r>
      <w:r w:rsidR="00B3225D">
        <w:t xml:space="preserve"> (</w:t>
      </w:r>
      <w:r w:rsidR="00B3225D">
        <w:rPr>
          <w:lang w:eastAsia="en-US"/>
        </w:rPr>
        <w:t xml:space="preserve">Chou &amp; </w:t>
      </w:r>
      <w:proofErr w:type="spellStart"/>
      <w:r w:rsidR="00B3225D">
        <w:rPr>
          <w:lang w:eastAsia="en-US"/>
        </w:rPr>
        <w:t>Zolkiewski</w:t>
      </w:r>
      <w:proofErr w:type="spellEnd"/>
      <w:r w:rsidR="00B3225D">
        <w:rPr>
          <w:lang w:eastAsia="en-US"/>
        </w:rPr>
        <w:t>, 2018 ; Fernandez et al., 2014)</w:t>
      </w:r>
      <w:r>
        <w:t xml:space="preserve">. </w:t>
      </w:r>
      <w:r w:rsidRPr="007D277F">
        <w:t xml:space="preserve">Il s’agit, pour les </w:t>
      </w:r>
      <w:r w:rsidR="003A3186">
        <w:lastRenderedPageBreak/>
        <w:t>organisations concernées</w:t>
      </w:r>
      <w:r w:rsidRPr="007D277F">
        <w:t>, non pas de gommer les tensions engendrées mais d’entretenir un niveau modéré de tension qui s’avère bénéfique, quel</w:t>
      </w:r>
      <w:r w:rsidR="003A3186">
        <w:t>le</w:t>
      </w:r>
      <w:r w:rsidRPr="007D277F">
        <w:t xml:space="preserve"> que soit la force du paradoxe (Park et al., 2014).</w:t>
      </w:r>
      <w:r w:rsidR="000F6129">
        <w:t xml:space="preserve"> </w:t>
      </w:r>
      <w:r w:rsidRPr="007D277F">
        <w:t>Malgré cela, il est nécessaire d’équilibrer les forces entre coopération et compétition po</w:t>
      </w:r>
      <w:r w:rsidR="000F6129">
        <w:t>ur garantir le succès du projet</w:t>
      </w:r>
      <w:r w:rsidRPr="007D277F">
        <w:t xml:space="preserve"> (</w:t>
      </w:r>
      <w:proofErr w:type="spellStart"/>
      <w:r w:rsidR="00B3225D">
        <w:t>Bengtsson</w:t>
      </w:r>
      <w:proofErr w:type="spellEnd"/>
      <w:r w:rsidR="00B3225D">
        <w:t xml:space="preserve"> &amp; </w:t>
      </w:r>
      <w:proofErr w:type="spellStart"/>
      <w:r w:rsidR="00B3225D">
        <w:t>Raza-Ullah</w:t>
      </w:r>
      <w:proofErr w:type="spellEnd"/>
      <w:r w:rsidR="00B3225D">
        <w:t xml:space="preserve">, 2016 ; </w:t>
      </w:r>
      <w:r w:rsidRPr="007D277F">
        <w:t>Park et al., 2014)</w:t>
      </w:r>
      <w:r>
        <w:t xml:space="preserve">. </w:t>
      </w:r>
    </w:p>
    <w:p w14:paraId="30C412CD" w14:textId="58C0459F" w:rsidR="000C3588" w:rsidRDefault="000C3588" w:rsidP="000C3588">
      <w:r>
        <w:t xml:space="preserve">L’ambivalence émotionnelle exprime la tension </w:t>
      </w:r>
      <w:r w:rsidR="00AA26FB">
        <w:t xml:space="preserve">issue des émotions contradictoires </w:t>
      </w:r>
      <w:r>
        <w:t>suscitée</w:t>
      </w:r>
      <w:r w:rsidR="00AA26FB">
        <w:t>s</w:t>
      </w:r>
      <w:r>
        <w:t xml:space="preserve"> par la coopétition</w:t>
      </w:r>
      <w:r w:rsidR="00AA26FB">
        <w:t xml:space="preserve"> </w:t>
      </w:r>
      <w:r w:rsidR="00AA26FB">
        <w:t>(</w:t>
      </w:r>
      <w:proofErr w:type="spellStart"/>
      <w:r w:rsidR="00AA26FB">
        <w:t>Raza-Ullah</w:t>
      </w:r>
      <w:proofErr w:type="spellEnd"/>
      <w:r w:rsidR="00AA26FB">
        <w:t xml:space="preserve"> et al., 2020</w:t>
      </w:r>
      <w:r w:rsidR="00AA26FB" w:rsidRPr="007D277F">
        <w:t>)</w:t>
      </w:r>
      <w:r w:rsidR="00AA26FB">
        <w:t>.</w:t>
      </w:r>
      <w:r>
        <w:t xml:space="preserve"> Les émotions peuvent être fortes ou faibles, négatives ou positives. Connaître le</w:t>
      </w:r>
      <w:r w:rsidR="00B3225D">
        <w:t>s</w:t>
      </w:r>
      <w:r>
        <w:t xml:space="preserve"> émotions </w:t>
      </w:r>
      <w:r w:rsidR="00B3225D">
        <w:t xml:space="preserve">– quelles que soient leur intensité et leur nature – </w:t>
      </w:r>
      <w:r>
        <w:t>suscitées</w:t>
      </w:r>
      <w:r w:rsidR="00B3225D">
        <w:t xml:space="preserve"> </w:t>
      </w:r>
      <w:r>
        <w:t>par le projet</w:t>
      </w:r>
      <w:r w:rsidR="00047AEB">
        <w:t xml:space="preserve"> coopétitif</w:t>
      </w:r>
      <w:r>
        <w:t xml:space="preserve"> permet de détermin</w:t>
      </w:r>
      <w:r w:rsidR="00D26FB9">
        <w:t>er le niveau de tension interne</w:t>
      </w:r>
      <w:r w:rsidR="004953F7">
        <w:t xml:space="preserve"> et de le contrôler</w:t>
      </w:r>
      <w:r w:rsidR="00D26FB9">
        <w:t xml:space="preserve">. Il semble donc primordial </w:t>
      </w:r>
      <w:r w:rsidR="000F6129">
        <w:t xml:space="preserve">d’estimer </w:t>
      </w:r>
      <w:r w:rsidR="00D26FB9">
        <w:t xml:space="preserve">le </w:t>
      </w:r>
      <w:r w:rsidR="000F6129">
        <w:t>niveau d’acceptabilité par le personnel, qui est directement impacté par une telle stratégie</w:t>
      </w:r>
      <w:r>
        <w:t>.</w:t>
      </w:r>
    </w:p>
    <w:p w14:paraId="402D3E99" w14:textId="178A17D7" w:rsidR="000C3588" w:rsidRDefault="000C3588" w:rsidP="000C3588">
      <w:r>
        <w:t xml:space="preserve">Il est établi que la coopétition </w:t>
      </w:r>
      <w:r w:rsidR="00F14668">
        <w:t xml:space="preserve">peut </w:t>
      </w:r>
      <w:r>
        <w:t>apporte</w:t>
      </w:r>
      <w:r w:rsidR="00F14668">
        <w:t>r</w:t>
      </w:r>
      <w:r>
        <w:t xml:space="preserve"> des effets bénéfiques importants </w:t>
      </w:r>
      <w:r w:rsidR="00F14668">
        <w:t xml:space="preserve">à ses acteurs, puisqu’elle vise à créer puis capturer de la valeur </w:t>
      </w:r>
      <w:r>
        <w:t>(</w:t>
      </w:r>
      <w:proofErr w:type="spellStart"/>
      <w:r w:rsidR="00F14668">
        <w:t>Gnyawali</w:t>
      </w:r>
      <w:proofErr w:type="spellEnd"/>
      <w:r w:rsidR="00F14668">
        <w:t xml:space="preserve"> &amp; Ryan </w:t>
      </w:r>
      <w:proofErr w:type="spellStart"/>
      <w:r w:rsidR="00F14668">
        <w:t>Charleton</w:t>
      </w:r>
      <w:proofErr w:type="spellEnd"/>
      <w:r w:rsidR="00F14668">
        <w:t>, 2018</w:t>
      </w:r>
      <w:r>
        <w:t>).</w:t>
      </w:r>
      <w:r w:rsidR="00F14668">
        <w:t xml:space="preserve"> Or, d’une façon générale,</w:t>
      </w:r>
      <w:r>
        <w:t xml:space="preserve"> le taux d’échec des alliances stratégiques est très élevé </w:t>
      </w:r>
      <w:r w:rsidRPr="00620A38">
        <w:t>(</w:t>
      </w:r>
      <w:proofErr w:type="spellStart"/>
      <w:r w:rsidRPr="00620A38">
        <w:t>Lunnan</w:t>
      </w:r>
      <w:proofErr w:type="spellEnd"/>
      <w:r w:rsidRPr="00620A38">
        <w:t xml:space="preserve"> &amp; </w:t>
      </w:r>
      <w:proofErr w:type="spellStart"/>
      <w:r w:rsidRPr="00620A38">
        <w:t>Haugland</w:t>
      </w:r>
      <w:proofErr w:type="spellEnd"/>
      <w:r w:rsidRPr="00620A38">
        <w:t>, 2008)</w:t>
      </w:r>
      <w:r>
        <w:t xml:space="preserve">. </w:t>
      </w:r>
      <w:r w:rsidR="00F14668">
        <w:t>Il s’agit donc, pour les organisations concernées,</w:t>
      </w:r>
      <w:r>
        <w:t xml:space="preserve"> de disposer de capacités internes particulières qui permettent de gérer avec succès </w:t>
      </w:r>
      <w:r w:rsidR="00774FDE">
        <w:t>de tels</w:t>
      </w:r>
      <w:r>
        <w:t xml:space="preserve"> projets d’alliance</w:t>
      </w:r>
      <w:r w:rsidR="00F14668">
        <w:t xml:space="preserve">, cette </w:t>
      </w:r>
      <w:r>
        <w:t>capacité de coopétition se distingu</w:t>
      </w:r>
      <w:r w:rsidR="00F14668">
        <w:t>ant</w:t>
      </w:r>
      <w:r>
        <w:t xml:space="preserve"> d’autres capacités générales (</w:t>
      </w:r>
      <w:proofErr w:type="spellStart"/>
      <w:r w:rsidRPr="007D277F">
        <w:t>Bengtsson</w:t>
      </w:r>
      <w:proofErr w:type="spellEnd"/>
      <w:r w:rsidR="00F14668">
        <w:t xml:space="preserve"> et al.</w:t>
      </w:r>
      <w:r w:rsidRPr="007D277F">
        <w:t>, 201</w:t>
      </w:r>
      <w:r>
        <w:t>6</w:t>
      </w:r>
      <w:r w:rsidRPr="007D277F">
        <w:t>).</w:t>
      </w:r>
      <w:r>
        <w:t xml:space="preserve"> Il est notamment indispensable que les équipes de direction soient agiles pour gérer la tension générée par </w:t>
      </w:r>
      <w:r w:rsidR="00F14668">
        <w:t>l’éclatement</w:t>
      </w:r>
      <w:r>
        <w:t xml:space="preserve"> du projet</w:t>
      </w:r>
      <w:r w:rsidR="00F14668">
        <w:t xml:space="preserve"> entre compétition d’une part et coopération d’autre part (</w:t>
      </w:r>
      <w:proofErr w:type="spellStart"/>
      <w:r w:rsidR="00F14668">
        <w:t>Bengtsson</w:t>
      </w:r>
      <w:proofErr w:type="spellEnd"/>
      <w:r w:rsidR="00F14668">
        <w:t xml:space="preserve"> et al., 2020)</w:t>
      </w:r>
      <w:r>
        <w:t xml:space="preserve">. </w:t>
      </w:r>
      <w:r w:rsidR="00F14668">
        <w:t>Ainsi, un</w:t>
      </w:r>
      <w:r>
        <w:t xml:space="preserve"> haut niveau de capacité de coopétition est associé à un faible niveau de tension interne (</w:t>
      </w:r>
      <w:proofErr w:type="spellStart"/>
      <w:r w:rsidRPr="007D277F">
        <w:t>Bengtsson</w:t>
      </w:r>
      <w:proofErr w:type="spellEnd"/>
      <w:r w:rsidR="00F14668">
        <w:t xml:space="preserve"> et al.</w:t>
      </w:r>
      <w:r w:rsidRPr="007D277F">
        <w:t>, 201</w:t>
      </w:r>
      <w:r>
        <w:t>6</w:t>
      </w:r>
      <w:r w:rsidRPr="007D277F">
        <w:t>).</w:t>
      </w:r>
      <w:r>
        <w:t xml:space="preserve"> Cette tension interne doit donc être </w:t>
      </w:r>
      <w:r w:rsidR="00047AEB">
        <w:t xml:space="preserve">appréhendée, </w:t>
      </w:r>
      <w:r>
        <w:t>évaluée</w:t>
      </w:r>
      <w:r w:rsidR="00047AEB">
        <w:t xml:space="preserve"> et traitée</w:t>
      </w:r>
      <w:r>
        <w:t xml:space="preserve"> par le top management. C’est donc un indicateur qu’il faut considérer </w:t>
      </w:r>
      <w:r w:rsidR="00047AEB">
        <w:t>puisqu’</w:t>
      </w:r>
      <w:r>
        <w:t xml:space="preserve">il conditionne une partie non négligeable de la réussite d’un projet </w:t>
      </w:r>
      <w:r w:rsidR="00047AEB">
        <w:t xml:space="preserve">coopétitif. Pour cela, il convient notamment de s’appuyer </w:t>
      </w:r>
      <w:r w:rsidR="00F14668">
        <w:t xml:space="preserve">sur la perception, par les collaborateurs eux-mêmes, de la coopétition telle qu’elle est vécue et ressentie </w:t>
      </w:r>
      <w:r w:rsidR="00385B62">
        <w:t>en interne à chaque organisation</w:t>
      </w:r>
      <w:r w:rsidR="00F14668">
        <w:t xml:space="preserve"> (</w:t>
      </w:r>
      <w:proofErr w:type="spellStart"/>
      <w:r w:rsidR="00F14668">
        <w:t>Albert-Cromarias</w:t>
      </w:r>
      <w:proofErr w:type="spellEnd"/>
      <w:r w:rsidR="00F14668">
        <w:t xml:space="preserve"> &amp; Dos Santos, 2020). Or,</w:t>
      </w:r>
      <w:r w:rsidR="00774FDE">
        <w:t xml:space="preserve"> à notre connaissance,</w:t>
      </w:r>
      <w:r w:rsidR="00F14668">
        <w:t xml:space="preserve"> la littérature ne s’est pour l’instant pas arrêtée sur </w:t>
      </w:r>
      <w:r w:rsidR="00385B62">
        <w:t>la</w:t>
      </w:r>
      <w:r w:rsidR="00F14668">
        <w:t xml:space="preserve"> dimension de perception de la coopétition</w:t>
      </w:r>
      <w:r w:rsidR="00385B62">
        <w:t xml:space="preserve"> par les collaborateurs</w:t>
      </w:r>
      <w:r w:rsidR="00F14668">
        <w:t xml:space="preserve"> en amont d’un tel projet. Afin de combler ce vide, il nous semble </w:t>
      </w:r>
      <w:r w:rsidR="00047AEB">
        <w:t>fructueux</w:t>
      </w:r>
      <w:r w:rsidR="00F14668">
        <w:t xml:space="preserve"> de mobiliser la littérature sur les représentations sociales</w:t>
      </w:r>
      <w:r w:rsidR="00774FDE">
        <w:t>.</w:t>
      </w:r>
    </w:p>
    <w:p w14:paraId="544AEA63" w14:textId="77777777" w:rsidR="000C3588" w:rsidRPr="00D26FB9" w:rsidRDefault="000C3588" w:rsidP="00D26FB9">
      <w:pPr>
        <w:pStyle w:val="Titre2"/>
      </w:pPr>
      <w:bookmarkStart w:id="0" w:name="_Toc41940521"/>
      <w:r w:rsidRPr="00D26FB9">
        <w:t>Les fondements théoriques des représentations sociales</w:t>
      </w:r>
      <w:bookmarkEnd w:id="0"/>
      <w:r w:rsidRPr="00D26FB9">
        <w:t xml:space="preserve"> </w:t>
      </w:r>
    </w:p>
    <w:p w14:paraId="590EB58D" w14:textId="697CE1FF" w:rsidR="00AC04C3" w:rsidRDefault="00EF1CCB" w:rsidP="00AC04C3">
      <w:r>
        <w:t>Une</w:t>
      </w:r>
      <w:r w:rsidR="002A299B">
        <w:t xml:space="preserve"> représentation sociale </w:t>
      </w:r>
      <w:r w:rsidR="000C3588">
        <w:t xml:space="preserve">« est </w:t>
      </w:r>
      <w:r>
        <w:t>un ensemble organisé d’informations, d’opinions, d’attitudes et de croyances à propos d’un objet donné. Socialement produite, elle est fortement marquée par des valeurs correspondant au système socio-idéologique et à l’histoire du groupe qui la véhicule pour lequel elle constitue un élément essentiel de sa vision du monde</w:t>
      </w:r>
      <w:r w:rsidR="000C3588">
        <w:t> »</w:t>
      </w:r>
      <w:r w:rsidR="002A299B" w:rsidRPr="002A299B">
        <w:t xml:space="preserve"> </w:t>
      </w:r>
      <w:r w:rsidR="00385B62">
        <w:t>(</w:t>
      </w:r>
      <w:proofErr w:type="spellStart"/>
      <w:r w:rsidR="002A299B">
        <w:t>Abric</w:t>
      </w:r>
      <w:proofErr w:type="spellEnd"/>
      <w:r w:rsidR="00385B62">
        <w:t xml:space="preserve">, </w:t>
      </w:r>
      <w:r w:rsidR="00142A25">
        <w:t>200</w:t>
      </w:r>
      <w:r>
        <w:t xml:space="preserve">5, </w:t>
      </w:r>
      <w:r>
        <w:lastRenderedPageBreak/>
        <w:t>p.59</w:t>
      </w:r>
      <w:r w:rsidR="002A299B">
        <w:t>).</w:t>
      </w:r>
      <w:r w:rsidR="00AC04C3">
        <w:t xml:space="preserve"> Elles </w:t>
      </w:r>
      <w:r w:rsidR="00385B62">
        <w:t>peuvent être considérées comme</w:t>
      </w:r>
      <w:r w:rsidR="00AC04C3">
        <w:t xml:space="preserve"> des principes </w:t>
      </w:r>
      <w:r w:rsidR="00385B62">
        <w:t>qui génèrent</w:t>
      </w:r>
      <w:r w:rsidR="00AC04C3">
        <w:t xml:space="preserve"> de</w:t>
      </w:r>
      <w:r w:rsidR="00385B62">
        <w:t>s</w:t>
      </w:r>
      <w:r w:rsidR="00AC04C3">
        <w:t xml:space="preserve"> prise</w:t>
      </w:r>
      <w:r w:rsidR="00385B62">
        <w:t>s</w:t>
      </w:r>
      <w:r w:rsidR="00AC04C3">
        <w:t xml:space="preserve"> de position (</w:t>
      </w:r>
      <w:r w:rsidR="00142A25">
        <w:t>Lo Monaco</w:t>
      </w:r>
      <w:r w:rsidR="00AC04C3">
        <w:t xml:space="preserve"> et al</w:t>
      </w:r>
      <w:r w:rsidR="00142A25">
        <w:t>.</w:t>
      </w:r>
      <w:r w:rsidR="00AC04C3">
        <w:t>, 2016).</w:t>
      </w:r>
    </w:p>
    <w:p w14:paraId="2457B70B" w14:textId="0304FF7A" w:rsidR="002A299B" w:rsidRDefault="000C3588" w:rsidP="002A299B">
      <w:r w:rsidRPr="00576834">
        <w:t xml:space="preserve">La théorie de la représentation sociale a été élaborée par Moscovici en 1961. </w:t>
      </w:r>
      <w:r w:rsidR="00EF1CCB">
        <w:t>Elle</w:t>
      </w:r>
      <w:r w:rsidRPr="00576834">
        <w:t xml:space="preserve"> pose une vision fonctionnelle du monde qui permet à l’individu de comprendre la réalité. Celle</w:t>
      </w:r>
      <w:r w:rsidR="002A299B">
        <w:t>-</w:t>
      </w:r>
      <w:r w:rsidRPr="00576834">
        <w:t xml:space="preserve">ci est une forme de connaissance, socialement élaborée et partagée ayant une visée pratique et concourant à la construction d’une réalité commune à un ensemble social </w:t>
      </w:r>
      <w:r w:rsidR="00BD1069">
        <w:t>(</w:t>
      </w:r>
      <w:proofErr w:type="spellStart"/>
      <w:r w:rsidR="00BD1069">
        <w:t>Jodelet</w:t>
      </w:r>
      <w:proofErr w:type="spellEnd"/>
      <w:r w:rsidR="00BD1069">
        <w:t>, 2003).</w:t>
      </w:r>
      <w:r w:rsidRPr="00576834">
        <w:t xml:space="preserve"> La représentation n’est donc pas un reflet de la réalité mais une construction et une organisation signifiante. Cette signification dépend à la fois de facteurs contingents</w:t>
      </w:r>
      <w:r w:rsidR="002A299B">
        <w:t xml:space="preserve"> – tel</w:t>
      </w:r>
      <w:r w:rsidR="00385B62">
        <w:t>le</w:t>
      </w:r>
      <w:r w:rsidR="002A299B">
        <w:t xml:space="preserve">s la </w:t>
      </w:r>
      <w:r w:rsidRPr="00576834">
        <w:t xml:space="preserve">nature </w:t>
      </w:r>
      <w:r w:rsidR="002A299B">
        <w:t xml:space="preserve">ou les contraintes de la situation – </w:t>
      </w:r>
      <w:r w:rsidRPr="00576834">
        <w:t>et</w:t>
      </w:r>
      <w:r w:rsidR="002A299B">
        <w:t xml:space="preserve"> d</w:t>
      </w:r>
      <w:r w:rsidRPr="00576834">
        <w:t xml:space="preserve">e facteurs plus généraux </w:t>
      </w:r>
      <w:r w:rsidR="002A299B">
        <w:t xml:space="preserve">– par exemple : </w:t>
      </w:r>
      <w:r w:rsidR="00AA26FB">
        <w:t>contexte social et idéologique,</w:t>
      </w:r>
      <w:r w:rsidRPr="00576834">
        <w:t xml:space="preserve"> place de l’individu dans l’organisation sociale, histoire de l’individu et du groupe</w:t>
      </w:r>
      <w:r w:rsidR="002A299B">
        <w:t xml:space="preserve"> ou</w:t>
      </w:r>
      <w:r w:rsidRPr="00576834">
        <w:t xml:space="preserve"> enjeux sociaux</w:t>
      </w:r>
      <w:r w:rsidR="002A299B">
        <w:t xml:space="preserve"> </w:t>
      </w:r>
      <w:r w:rsidR="00EF1CCB">
        <w:t>(</w:t>
      </w:r>
      <w:proofErr w:type="spellStart"/>
      <w:r w:rsidR="00EF1CCB">
        <w:t>Abric</w:t>
      </w:r>
      <w:proofErr w:type="spellEnd"/>
      <w:r w:rsidR="00EF1CCB">
        <w:t>, 2005).</w:t>
      </w:r>
      <w:r w:rsidRPr="00576834">
        <w:t> </w:t>
      </w:r>
    </w:p>
    <w:p w14:paraId="5415EC26" w14:textId="77777777" w:rsidR="002A299B" w:rsidRPr="005104AF" w:rsidRDefault="002A299B" w:rsidP="002A299B">
      <w:pPr>
        <w:rPr>
          <w:color w:val="000000" w:themeColor="text1"/>
        </w:rPr>
      </w:pPr>
      <w:r w:rsidRPr="005104AF">
        <w:rPr>
          <w:color w:val="000000" w:themeColor="text1"/>
        </w:rPr>
        <w:t>C’est au travers de la re</w:t>
      </w:r>
      <w:r w:rsidR="00862756">
        <w:rPr>
          <w:color w:val="000000" w:themeColor="text1"/>
        </w:rPr>
        <w:t>présentation sociale d’un objet</w:t>
      </w:r>
      <w:r w:rsidRPr="005104AF">
        <w:rPr>
          <w:color w:val="000000" w:themeColor="text1"/>
        </w:rPr>
        <w:t xml:space="preserve"> qu’un savoir commun s’établit, orient</w:t>
      </w:r>
      <w:r w:rsidR="00862756">
        <w:rPr>
          <w:color w:val="000000" w:themeColor="text1"/>
        </w:rPr>
        <w:t>ant</w:t>
      </w:r>
      <w:r w:rsidRPr="005104AF">
        <w:rPr>
          <w:color w:val="000000" w:themeColor="text1"/>
        </w:rPr>
        <w:t xml:space="preserve"> les conduites et les comportements et constitu</w:t>
      </w:r>
      <w:r w:rsidR="00862756">
        <w:rPr>
          <w:color w:val="000000" w:themeColor="text1"/>
        </w:rPr>
        <w:t>ant</w:t>
      </w:r>
      <w:r w:rsidRPr="005104AF">
        <w:rPr>
          <w:color w:val="000000" w:themeColor="text1"/>
        </w:rPr>
        <w:t xml:space="preserve"> </w:t>
      </w:r>
      <w:r w:rsidR="00862756">
        <w:rPr>
          <w:color w:val="000000" w:themeColor="text1"/>
        </w:rPr>
        <w:t>l’</w:t>
      </w:r>
      <w:r w:rsidRPr="005104AF">
        <w:rPr>
          <w:color w:val="000000" w:themeColor="text1"/>
        </w:rPr>
        <w:t xml:space="preserve">identité d’un groupe social. Une représentation erronée du contexte et de l’objet conduit à des comportements inadaptés et est susceptible de générer des conflits identitaires. </w:t>
      </w:r>
    </w:p>
    <w:p w14:paraId="6686EA09" w14:textId="2585F51C" w:rsidR="00076924" w:rsidRPr="00576834" w:rsidRDefault="002A299B" w:rsidP="002621DB">
      <w:r>
        <w:t>Ainsi d</w:t>
      </w:r>
      <w:r w:rsidR="000C3588" w:rsidRPr="00576834">
        <w:t>ifférents éléments constituent une représentation sociale</w:t>
      </w:r>
      <w:r>
        <w:t> ;</w:t>
      </w:r>
      <w:r w:rsidR="000C3588" w:rsidRPr="00576834">
        <w:t xml:space="preserve"> ils n’ont pas tous la même importance</w:t>
      </w:r>
      <w:r>
        <w:t xml:space="preserve"> et</w:t>
      </w:r>
      <w:r w:rsidR="000C3588" w:rsidRPr="00576834">
        <w:t xml:space="preserve"> sont </w:t>
      </w:r>
      <w:r w:rsidR="002621DB">
        <w:t>hiérarchisés et liés entre eux</w:t>
      </w:r>
      <w:r w:rsidR="000C3588" w:rsidRPr="00576834">
        <w:fldChar w:fldCharType="begin"/>
      </w:r>
      <w:r w:rsidR="000C3588" w:rsidRPr="00576834">
        <w:instrText xml:space="preserve"> ADDIN ZOTERO_ITEM CSL_CITATION {"citationID":"1fhufnpj4l","properties":{"formattedCitation":"(Abric, 2003)","plainCitation":"(Abric, 2003)"},"citationItems":[{"id":81,"uris":["http://zotero.org/users/local/3gAPuQv9/items/5RFR87V4"],"uri":["http://zotero.org/users/local/3gAPuQv9/items/5RFR87V4"],"itemData":{"id":81,"type":"book","title":"Méthodes d'étude des représentations sociales","publisher":"Erès","ISBN":"2749228212","author":[{"family":"Abric","given":"Jean-Claude"}],"issued":{"date-parts":[["2003"]]}}}],"schema":"https://github.com/citation-style-language/schema/raw/master/csl-citation.json"} </w:instrText>
      </w:r>
      <w:r w:rsidR="000C3588" w:rsidRPr="00576834">
        <w:fldChar w:fldCharType="end"/>
      </w:r>
      <w:r w:rsidR="000C3588" w:rsidRPr="00576834">
        <w:t>.</w:t>
      </w:r>
      <w:r w:rsidRPr="002A299B">
        <w:t xml:space="preserve"> </w:t>
      </w:r>
      <w:r w:rsidR="002621DB">
        <w:t xml:space="preserve">En suivant </w:t>
      </w:r>
      <w:proofErr w:type="spellStart"/>
      <w:r w:rsidR="002621DB">
        <w:t>Abric</w:t>
      </w:r>
      <w:proofErr w:type="spellEnd"/>
      <w:r w:rsidR="002621DB">
        <w:t xml:space="preserve"> (2005), pour qui « étudier une représentation sociale, c’est d’abord, et avant toute chose, chercher les constituants de son noyau central » (p.59), nous allons centrer notre identification des représentations sociales de l’objet « coopétition » en nous focalisant sur le noyau central ainsi que la première périphérie. </w:t>
      </w:r>
      <w:bookmarkStart w:id="1" w:name="_Toc41940522"/>
      <w:r w:rsidR="000C3588" w:rsidRPr="00576834">
        <w:t xml:space="preserve">Le noyau </w:t>
      </w:r>
      <w:r w:rsidR="000C3588" w:rsidRPr="002A299B">
        <w:t>central</w:t>
      </w:r>
      <w:bookmarkEnd w:id="1"/>
      <w:r w:rsidR="000C3588" w:rsidRPr="00576834">
        <w:t xml:space="preserve"> est composé d’éléments centraux</w:t>
      </w:r>
      <w:r>
        <w:t xml:space="preserve">, c’est-à-dire </w:t>
      </w:r>
      <w:r w:rsidR="000C3588" w:rsidRPr="00576834">
        <w:t>très fréquents et très importants dans la représentation sociale</w:t>
      </w:r>
      <w:r w:rsidR="002621DB">
        <w:t> ;</w:t>
      </w:r>
      <w:r w:rsidR="000C3588" w:rsidRPr="00576834">
        <w:t xml:space="preserve"> </w:t>
      </w:r>
      <w:r w:rsidR="002621DB">
        <w:t>c</w:t>
      </w:r>
      <w:r w:rsidR="000C3588" w:rsidRPr="00576834">
        <w:t>e sont ces éléments qui donnent sa signification à la représentation, qui la structure</w:t>
      </w:r>
      <w:r w:rsidR="001B2475">
        <w:t>nt</w:t>
      </w:r>
      <w:r w:rsidR="000C3588" w:rsidRPr="00576834">
        <w:t>, l</w:t>
      </w:r>
      <w:r>
        <w:t>’organise</w:t>
      </w:r>
      <w:r w:rsidR="001B2475">
        <w:t>nt</w:t>
      </w:r>
      <w:r>
        <w:t>, la stabilise</w:t>
      </w:r>
      <w:r w:rsidR="001B2475">
        <w:t>nt</w:t>
      </w:r>
      <w:r w:rsidR="002621DB">
        <w:t xml:space="preserve"> et qui </w:t>
      </w:r>
      <w:r w:rsidR="000C3588" w:rsidRPr="00576834">
        <w:t>génère</w:t>
      </w:r>
      <w:r w:rsidR="002621DB">
        <w:t>nt</w:t>
      </w:r>
      <w:r>
        <w:t xml:space="preserve"> ainsi</w:t>
      </w:r>
      <w:r w:rsidR="000C3588" w:rsidRPr="00576834">
        <w:t xml:space="preserve"> les prises de position (croyances, attitudes, opinions, conduites, pratiques sociales) les plus importantes du groupe étudié.</w:t>
      </w:r>
      <w:r w:rsidR="00EF1CCB">
        <w:t xml:space="preserve"> </w:t>
      </w:r>
      <w:bookmarkStart w:id="2" w:name="_Toc41940524"/>
      <w:bookmarkStart w:id="3" w:name="_Toc41940523"/>
      <w:r w:rsidR="00076924" w:rsidRPr="00576834">
        <w:t xml:space="preserve">Les éléments </w:t>
      </w:r>
      <w:r w:rsidR="00076924" w:rsidRPr="002A299B">
        <w:t>périphérique</w:t>
      </w:r>
      <w:bookmarkEnd w:id="2"/>
      <w:r w:rsidR="002621DB">
        <w:t>s</w:t>
      </w:r>
      <w:r w:rsidR="00076924" w:rsidRPr="00576834">
        <w:t xml:space="preserve"> </w:t>
      </w:r>
      <w:r w:rsidR="00076924">
        <w:t>s</w:t>
      </w:r>
      <w:r w:rsidR="00076924" w:rsidRPr="00576834">
        <w:t>ont</w:t>
      </w:r>
      <w:r w:rsidR="001B2475">
        <w:t>, par définition,</w:t>
      </w:r>
      <w:r w:rsidR="00076924" w:rsidRPr="00576834">
        <w:t xml:space="preserve"> </w:t>
      </w:r>
      <w:r w:rsidR="00076924" w:rsidRPr="00862756">
        <w:rPr>
          <w:iCs/>
        </w:rPr>
        <w:t>moins importants dans la caractérisation de l’objet</w:t>
      </w:r>
      <w:r w:rsidR="00AA26FB">
        <w:rPr>
          <w:iCs/>
        </w:rPr>
        <w:t> :</w:t>
      </w:r>
      <w:r w:rsidR="00076924" w:rsidRPr="00576834">
        <w:t xml:space="preserve"> </w:t>
      </w:r>
      <w:r w:rsidR="002621DB">
        <w:t>l</w:t>
      </w:r>
      <w:r w:rsidR="00076924" w:rsidRPr="00576834">
        <w:t>a première périphérie correspond aux éléments qui ont une forte fréqu</w:t>
      </w:r>
      <w:r w:rsidR="002621DB">
        <w:t>ence mais une importance faible ;</w:t>
      </w:r>
      <w:r w:rsidR="00076924" w:rsidRPr="00576834">
        <w:t xml:space="preserve"> </w:t>
      </w:r>
      <w:r w:rsidR="002621DB">
        <w:t>l</w:t>
      </w:r>
      <w:r w:rsidR="00076924" w:rsidRPr="00576834">
        <w:t xml:space="preserve">a deuxième périphérie </w:t>
      </w:r>
      <w:r w:rsidR="002621DB">
        <w:t xml:space="preserve">est </w:t>
      </w:r>
      <w:r w:rsidR="00076924" w:rsidRPr="00576834">
        <w:t>constituée des éléments</w:t>
      </w:r>
      <w:r w:rsidR="002621DB">
        <w:t xml:space="preserve"> peu présents et peu importants</w:t>
      </w:r>
      <w:r w:rsidR="00076924" w:rsidRPr="00576834">
        <w:t>.</w:t>
      </w:r>
    </w:p>
    <w:bookmarkEnd w:id="3"/>
    <w:p w14:paraId="52C824A3" w14:textId="77777777" w:rsidR="000C3588" w:rsidRPr="00576834" w:rsidRDefault="00AC04C3" w:rsidP="00D26FB9">
      <w:pPr>
        <w:pStyle w:val="Titre2"/>
      </w:pPr>
      <w:r>
        <w:t>Question</w:t>
      </w:r>
      <w:r w:rsidR="00862756">
        <w:t xml:space="preserve"> de recherche</w:t>
      </w:r>
    </w:p>
    <w:p w14:paraId="633251FC" w14:textId="77777777" w:rsidR="00AC04C3" w:rsidRDefault="00AC04C3" w:rsidP="00AC04C3">
      <w:r>
        <w:t xml:space="preserve">Le projet d’une alliance coopétitive entre des organisations concurrentes, pensé par les cadres dirigeants, porte intrinsèquement une notion de dynamique d’ouverture vers les autres partenaires. </w:t>
      </w:r>
    </w:p>
    <w:p w14:paraId="1C802969" w14:textId="12945DFF" w:rsidR="000C3588" w:rsidRPr="00921333" w:rsidRDefault="00AC04C3" w:rsidP="00AC04C3">
      <w:r>
        <w:lastRenderedPageBreak/>
        <w:t xml:space="preserve">Notre proposition de recherche s’appuie sur le fait </w:t>
      </w:r>
      <w:r w:rsidR="000C3588" w:rsidRPr="00AC04C3">
        <w:t>qu’il existe des représentations sociales initiales</w:t>
      </w:r>
      <w:r w:rsidR="00AA26FB">
        <w:t xml:space="preserve"> variées</w:t>
      </w:r>
      <w:r w:rsidR="000C3588" w:rsidRPr="00AC04C3">
        <w:t xml:space="preserve"> de </w:t>
      </w:r>
      <w:r w:rsidR="00076924">
        <w:t>cet objet</w:t>
      </w:r>
      <w:r w:rsidR="00774FDE">
        <w:t xml:space="preserve"> « alliance »</w:t>
      </w:r>
      <w:r w:rsidR="000C3588" w:rsidRPr="00AC04C3">
        <w:t xml:space="preserve"> auprès des collaborateurs </w:t>
      </w:r>
      <w:r>
        <w:t>de chacune des organisations</w:t>
      </w:r>
      <w:r w:rsidR="000C3588" w:rsidRPr="00AC04C3">
        <w:t>,</w:t>
      </w:r>
      <w:r w:rsidR="00FA1B87">
        <w:t xml:space="preserve"> et qu’elles sont</w:t>
      </w:r>
      <w:r w:rsidR="000C3588" w:rsidRPr="00AC04C3">
        <w:t xml:space="preserve"> susceptibles de générer des tensions internes,</w:t>
      </w:r>
      <w:r>
        <w:t xml:space="preserve"> voire de</w:t>
      </w:r>
      <w:r w:rsidR="000C3588" w:rsidRPr="00AC04C3">
        <w:t xml:space="preserve"> compromett</w:t>
      </w:r>
      <w:r>
        <w:t>re</w:t>
      </w:r>
      <w:r w:rsidR="000C3588" w:rsidRPr="00AC04C3">
        <w:t xml:space="preserve"> la réussite de la phase de déploiement opérationnel.</w:t>
      </w:r>
      <w:r w:rsidR="000C3588" w:rsidRPr="00AC04C3">
        <w:rPr>
          <w:b/>
          <w:bCs/>
        </w:rPr>
        <w:t xml:space="preserve"> </w:t>
      </w:r>
      <w:r w:rsidR="00076924" w:rsidRPr="00076924">
        <w:rPr>
          <w:bCs/>
        </w:rPr>
        <w:t xml:space="preserve">Il s’agit donc </w:t>
      </w:r>
      <w:r w:rsidR="00076924" w:rsidRPr="00921333">
        <w:rPr>
          <w:bCs/>
        </w:rPr>
        <w:t>d’identifier les représentations sociales d’un projet coopétitif en amont de sa mise en œuvre auprès des collaborateurs concernés, en fonction de leur groupe professionnel.</w:t>
      </w:r>
    </w:p>
    <w:p w14:paraId="7BC15418" w14:textId="33E9E40D" w:rsidR="00AC04C3" w:rsidRDefault="00AC04C3" w:rsidP="00AC04C3">
      <w:r>
        <w:t>En effet, des représentations erronées pourraient générer des conflits internes et potentiellement compromettre le processus de transformation de l’idée conceptuelle de l’alliance en procédures opérationnelles efficaces, portées par les équipes. A l’inverse, connaitre les représentations sociales initiales des collaborateurs, ainsi que leur polarité (positive ou négative) permettrait de connaitre le niveau d’acceptation des équipes, les points de blocage éventuellement suscités par un tel projet et les attentes spécifiques. Ce sont autant d’informations qui permettront</w:t>
      </w:r>
      <w:r w:rsidR="00076924">
        <w:t>, dans un second temps,</w:t>
      </w:r>
      <w:r>
        <w:t xml:space="preserve"> de prévenir la survenue d’irritation</w:t>
      </w:r>
      <w:r w:rsidR="001B2475">
        <w:t>s</w:t>
      </w:r>
      <w:r>
        <w:t xml:space="preserve"> et de construire un plan d’action </w:t>
      </w:r>
      <w:r w:rsidR="00076924">
        <w:t>prenant</w:t>
      </w:r>
      <w:r>
        <w:t xml:space="preserve"> en compte les freins et les attentes spécifiques des collaborateurs</w:t>
      </w:r>
      <w:r w:rsidR="00076924">
        <w:t>, minimisant ainsi les tensions émotionnelles ambivalentes suscitées dans les projets de coopétition (</w:t>
      </w:r>
      <w:r w:rsidR="00076924" w:rsidRPr="00727E17">
        <w:t>Park et al., 2014</w:t>
      </w:r>
      <w:r w:rsidR="00076924">
        <w:t xml:space="preserve"> ; </w:t>
      </w:r>
      <w:proofErr w:type="spellStart"/>
      <w:r w:rsidR="00076924">
        <w:t>Raza-Ullah</w:t>
      </w:r>
      <w:proofErr w:type="spellEnd"/>
      <w:r w:rsidR="00076924">
        <w:t xml:space="preserve"> et al., 2020).</w:t>
      </w:r>
    </w:p>
    <w:p w14:paraId="2EDEA00A" w14:textId="7112740D" w:rsidR="00FA1B87" w:rsidRDefault="00FA1B87" w:rsidP="00AC04C3">
      <w:r w:rsidRPr="00133B7C">
        <w:t>Notre question de recherche est donc la suivante :</w:t>
      </w:r>
      <w:r w:rsidR="00E35954" w:rsidRPr="00133B7C">
        <w:t xml:space="preserve"> </w:t>
      </w:r>
      <w:r w:rsidR="00E35954" w:rsidRPr="00133B7C">
        <w:rPr>
          <w:i/>
        </w:rPr>
        <w:t>quelles sont les représentations sociales de la coopétition par les collaborateurs d’une organisation qui va s’engager dans un projet coopétitif ?</w:t>
      </w:r>
      <w:r w:rsidRPr="00E35954">
        <w:rPr>
          <w:i/>
        </w:rPr>
        <w:t xml:space="preserve"> </w:t>
      </w:r>
    </w:p>
    <w:p w14:paraId="42C40A57" w14:textId="7101443C" w:rsidR="00AC04C3" w:rsidRDefault="00076924" w:rsidP="00AC04C3">
      <w:r>
        <w:t>Nos contributions sont tout d’abord à visée théorique, pour enrichir la n</w:t>
      </w:r>
      <w:r w:rsidR="001B2475">
        <w:t>otion de capacité de coopétition</w:t>
      </w:r>
      <w:r>
        <w:t xml:space="preserve"> développée par </w:t>
      </w:r>
      <w:proofErr w:type="spellStart"/>
      <w:r>
        <w:t>Bengtsson</w:t>
      </w:r>
      <w:proofErr w:type="spellEnd"/>
      <w:r>
        <w:t xml:space="preserve"> et al. (2016 ; 2020), à l’aide d’un regard orienté sur les collaborateurs eux-mêmes, selon leur groupe professionnel, poursuivant en cela le travail </w:t>
      </w:r>
      <w:r w:rsidR="00FA1B87">
        <w:t>entamé par</w:t>
      </w:r>
      <w:r>
        <w:t xml:space="preserve"> </w:t>
      </w:r>
      <w:proofErr w:type="spellStart"/>
      <w:r>
        <w:t>Albert-Cromarias</w:t>
      </w:r>
      <w:proofErr w:type="spellEnd"/>
      <w:r>
        <w:t xml:space="preserve"> et Dos Santos (2020). Notre recherche vise également des contributions managériales fortes, </w:t>
      </w:r>
      <w:r w:rsidR="00872583">
        <w:t>permettant d’</w:t>
      </w:r>
      <w:r>
        <w:t>accompagner les équipes dirigeantes d’organisations engagées dans un projet coopétitif afin de</w:t>
      </w:r>
      <w:r w:rsidR="00872583">
        <w:t xml:space="preserve"> le</w:t>
      </w:r>
      <w:r>
        <w:t xml:space="preserve"> déployer aux d</w:t>
      </w:r>
      <w:r w:rsidR="00872583">
        <w:t xml:space="preserve">ifférents niveaux </w:t>
      </w:r>
      <w:r w:rsidR="00FA1B87">
        <w:t>de l’organisation</w:t>
      </w:r>
      <w:r w:rsidR="00872583">
        <w:t>, afin que les collaborateurs</w:t>
      </w:r>
      <w:r w:rsidR="00FA1B87">
        <w:t>, à titre individuel,</w:t>
      </w:r>
      <w:r w:rsidR="00872583">
        <w:t xml:space="preserve"> se l’approprient au mieux.</w:t>
      </w:r>
    </w:p>
    <w:p w14:paraId="6709C928" w14:textId="579ACF2E" w:rsidR="0039597F" w:rsidRDefault="0039597F" w:rsidP="00D26FB9">
      <w:pPr>
        <w:pStyle w:val="Titre1"/>
      </w:pPr>
      <w:r>
        <w:t>Cadrage méthodologique de la recherche</w:t>
      </w:r>
    </w:p>
    <w:p w14:paraId="5C891222" w14:textId="56D6855B" w:rsidR="00E35954" w:rsidRDefault="00E35954" w:rsidP="00E35954">
      <w:pPr>
        <w:rPr>
          <w:lang w:eastAsia="en-US"/>
        </w:rPr>
      </w:pPr>
      <w:r>
        <w:t xml:space="preserve">Notre terrain d’étude porte sur le cas </w:t>
      </w:r>
      <w:proofErr w:type="spellStart"/>
      <w:r>
        <w:t>Allios</w:t>
      </w:r>
      <w:proofErr w:type="spellEnd"/>
      <w:r>
        <w:t xml:space="preserve">, projet d’alliance entre trois </w:t>
      </w:r>
      <w:r>
        <w:rPr>
          <w:lang w:eastAsia="en-US"/>
        </w:rPr>
        <w:t xml:space="preserve">Instituts de Formation Supérieure en Ostéopathie (IFSO). Nous présentons tout d’abord le contexte général du système français d’enseignement et de formation à l’ostéopathie, puis le projet </w:t>
      </w:r>
      <w:proofErr w:type="spellStart"/>
      <w:r>
        <w:rPr>
          <w:lang w:eastAsia="en-US"/>
        </w:rPr>
        <w:t>Allios</w:t>
      </w:r>
      <w:proofErr w:type="spellEnd"/>
      <w:r>
        <w:rPr>
          <w:lang w:eastAsia="en-US"/>
        </w:rPr>
        <w:t xml:space="preserve"> et, enfin, la méthode de collecte et de traitement des données.</w:t>
      </w:r>
    </w:p>
    <w:p w14:paraId="7D76E3F6" w14:textId="4771814E" w:rsidR="00FA0569" w:rsidRDefault="00E35954" w:rsidP="00D26FB9">
      <w:pPr>
        <w:pStyle w:val="Titre2"/>
      </w:pPr>
      <w:r>
        <w:lastRenderedPageBreak/>
        <w:t>C</w:t>
      </w:r>
      <w:r w:rsidR="000D438E">
        <w:t>ontexte du projet</w:t>
      </w:r>
    </w:p>
    <w:p w14:paraId="3200180B" w14:textId="7CA3F946" w:rsidR="004313DF" w:rsidRPr="003375E9" w:rsidRDefault="00594DDE" w:rsidP="004313DF">
      <w:r>
        <w:t>Pendant des années, l’enseignement de l’ostéopathie s</w:t>
      </w:r>
      <w:r w:rsidR="00872583">
        <w:t>’</w:t>
      </w:r>
      <w:r>
        <w:t>e</w:t>
      </w:r>
      <w:r w:rsidR="00872583">
        <w:t>st fait par compagnonnage</w:t>
      </w:r>
      <w:r>
        <w:t xml:space="preserve">. </w:t>
      </w:r>
      <w:r w:rsidR="004313DF">
        <w:t xml:space="preserve">Concernant d’abord les seuls professionnels de santé (PS), il s’ouvre, à partir de 1990, à des non-diplômés, accentuant la fracture entre ces deux populations, les premiers accusant régulièrement les seconds d’exercice illégal de la médecine. Dès lors, cohabitent en France des formations dédiées aux PS et d’autres aux non-PS. Dans la première catégorie, certains établissements proposent des formations en alternance pour PS et se structurent en école, quand d’autres restent </w:t>
      </w:r>
      <w:r w:rsidR="004313DF" w:rsidRPr="003375E9">
        <w:t>sous des formes plus artisanales, nuisant</w:t>
      </w:r>
      <w:r w:rsidR="005B068B">
        <w:t xml:space="preserve"> </w:t>
      </w:r>
      <w:r w:rsidR="002621DB">
        <w:t>parfois</w:t>
      </w:r>
      <w:r w:rsidR="004313DF" w:rsidRPr="003375E9">
        <w:t xml:space="preserve"> à</w:t>
      </w:r>
      <w:r w:rsidR="00E35954">
        <w:t xml:space="preserve"> la crédibilité de la formation</w:t>
      </w:r>
      <w:r w:rsidR="004313DF" w:rsidRPr="003375E9">
        <w:t>.</w:t>
      </w:r>
      <w:r w:rsidR="004313DF">
        <w:t xml:space="preserve"> </w:t>
      </w:r>
      <w:r w:rsidR="004313DF" w:rsidRPr="003375E9">
        <w:t xml:space="preserve">Certains établissements destinés aux </w:t>
      </w:r>
      <w:r w:rsidR="004313DF">
        <w:t>non-</w:t>
      </w:r>
      <w:r w:rsidR="004313DF" w:rsidRPr="003375E9">
        <w:t>PS vont</w:t>
      </w:r>
      <w:r w:rsidR="004313DF">
        <w:t>,</w:t>
      </w:r>
      <w:r w:rsidR="004313DF" w:rsidRPr="003375E9">
        <w:t xml:space="preserve"> quant à eux</w:t>
      </w:r>
      <w:r w:rsidR="004313DF">
        <w:t>,</w:t>
      </w:r>
      <w:r w:rsidR="004313DF" w:rsidRPr="003375E9">
        <w:t xml:space="preserve"> privilégier la rentabilité de leur structure en augmentant considérablement leur nombre d’inscrits au détriment de la qualité de l’enseignement. Cette politique de développement exponentiel conduit à l’explosion du nombre d’ostéopathes et à une saturation du marché</w:t>
      </w:r>
      <w:r w:rsidR="004313DF">
        <w:t>, le nombre de praticiens non-PS ayant plus que doublé entre janvier 2010 et janvier 2014</w:t>
      </w:r>
      <w:r w:rsidR="004313DF" w:rsidRPr="003375E9">
        <w:t>.</w:t>
      </w:r>
    </w:p>
    <w:p w14:paraId="48A71E82" w14:textId="5C32320F" w:rsidR="00FA0569" w:rsidRDefault="00FA0569" w:rsidP="00FA0569">
      <w:r>
        <w:t>Le décret n°2014-1043 d</w:t>
      </w:r>
      <w:r w:rsidR="004313DF">
        <w:t>e</w:t>
      </w:r>
      <w:r>
        <w:t xml:space="preserve"> septembre 2014</w:t>
      </w:r>
      <w:r w:rsidR="00E35954">
        <w:t>,</w:t>
      </w:r>
      <w:r>
        <w:t xml:space="preserve"> relatif à l’agrément des établissements de formation en ostéopathie, a permis de structurer l’organisation des instituts de formation selon un cahier des charges commun. </w:t>
      </w:r>
      <w:r w:rsidR="00E35954">
        <w:t>Les</w:t>
      </w:r>
      <w:r>
        <w:t xml:space="preserve"> processus définis et les procédures appliquées deviennent communs à </w:t>
      </w:r>
      <w:r w:rsidR="004313DF">
        <w:t xml:space="preserve">tous les établissements agréés, conduisant à </w:t>
      </w:r>
      <w:r>
        <w:t xml:space="preserve">écarter des instituts de formation qui n’avaient pas les dimensions nécessaires pour former dans des conditions suffisantes. </w:t>
      </w:r>
      <w:r w:rsidR="00E35954">
        <w:t>A</w:t>
      </w:r>
      <w:r>
        <w:t xml:space="preserve"> l’issu</w:t>
      </w:r>
      <w:r w:rsidR="00342123">
        <w:t>e</w:t>
      </w:r>
      <w:r>
        <w:t xml:space="preserve"> de </w:t>
      </w:r>
      <w:r w:rsidR="00E35954">
        <w:t>cette réforme</w:t>
      </w:r>
      <w:r>
        <w:t>, le nombre d’écoles agréées en France a</w:t>
      </w:r>
      <w:r w:rsidR="00342123">
        <w:t xml:space="preserve"> chuté de manière significative :</w:t>
      </w:r>
      <w:r>
        <w:t xml:space="preserve"> </w:t>
      </w:r>
      <w:r w:rsidR="00342123">
        <w:t>i</w:t>
      </w:r>
      <w:r>
        <w:t>l reste</w:t>
      </w:r>
      <w:r w:rsidR="00342123">
        <w:t>,</w:t>
      </w:r>
      <w:r>
        <w:t xml:space="preserve"> à ce jour</w:t>
      </w:r>
      <w:r w:rsidR="00342123">
        <w:t xml:space="preserve">, </w:t>
      </w:r>
      <w:r w:rsidR="005B068B">
        <w:t xml:space="preserve">31 </w:t>
      </w:r>
      <w:r w:rsidR="00342123">
        <w:t xml:space="preserve">écoles, majoritairement </w:t>
      </w:r>
      <w:r>
        <w:t>indépendantes</w:t>
      </w:r>
      <w:r w:rsidR="00342123">
        <w:t xml:space="preserve">. Certaines, cependant, </w:t>
      </w:r>
      <w:r>
        <w:t xml:space="preserve">appartiennent à un </w:t>
      </w:r>
      <w:r w:rsidR="00342123">
        <w:t>réseau</w:t>
      </w:r>
      <w:r>
        <w:t xml:space="preserve"> spécialisé dans la formation aux métiers de la santé, qui </w:t>
      </w:r>
      <w:r w:rsidR="00342123">
        <w:t>regroupe</w:t>
      </w:r>
      <w:r>
        <w:t xml:space="preserve"> 18 écoles et organismes de formation, dont </w:t>
      </w:r>
      <w:r w:rsidR="005B068B">
        <w:t>six</w:t>
      </w:r>
      <w:r>
        <w:t xml:space="preserve"> écoles d’ostéopathie. </w:t>
      </w:r>
    </w:p>
    <w:p w14:paraId="4E4A4A20" w14:textId="771B7CCD" w:rsidR="006E41EE" w:rsidRPr="00A94CBD" w:rsidRDefault="006E41EE" w:rsidP="00FA0569">
      <w:r w:rsidRPr="00A94CBD">
        <w:t>Parallèlement, dès 201</w:t>
      </w:r>
      <w:r w:rsidR="00DA4519" w:rsidRPr="00A94CBD">
        <w:t>7</w:t>
      </w:r>
      <w:r w:rsidRPr="00A94CBD">
        <w:t xml:space="preserve">, </w:t>
      </w:r>
      <w:r w:rsidR="00DA4519" w:rsidRPr="00A94CBD">
        <w:t>un projet de mise en place d’un label qualité autour des pratiques de soins en ostéopathie et en chiropratique voit le jour, réunissant notamment plusieurs centres de formations</w:t>
      </w:r>
      <w:r w:rsidR="002214C6" w:rsidRPr="00A94CBD">
        <w:t xml:space="preserve"> en ostéopathie</w:t>
      </w:r>
      <w:r w:rsidR="00DA4519" w:rsidRPr="00A94CBD">
        <w:t>. Très vite</w:t>
      </w:r>
      <w:r w:rsidR="00774FDE">
        <w:t>,</w:t>
      </w:r>
      <w:r w:rsidR="00DA4519" w:rsidRPr="00A94CBD">
        <w:t xml:space="preserve"> </w:t>
      </w:r>
      <w:r w:rsidR="005B068B" w:rsidRPr="00A94CBD">
        <w:t>quatre</w:t>
      </w:r>
      <w:r w:rsidRPr="00A94CBD">
        <w:t xml:space="preserve"> écoles </w:t>
      </w:r>
      <w:r w:rsidR="00DA4519" w:rsidRPr="00A94CBD">
        <w:t>se rapprochent lors de ces réunions de travail autour</w:t>
      </w:r>
      <w:r w:rsidR="002214C6" w:rsidRPr="00A94CBD">
        <w:t xml:space="preserve"> des </w:t>
      </w:r>
      <w:r w:rsidR="00685363" w:rsidRPr="00A94CBD">
        <w:t xml:space="preserve">mêmes valeurs, missions de formation et vision du métier d’ostéopathe. C’est </w:t>
      </w:r>
      <w:r w:rsidR="00DA4519" w:rsidRPr="00A94CBD">
        <w:t xml:space="preserve">de ce rapprochement que naitra le projet </w:t>
      </w:r>
      <w:proofErr w:type="spellStart"/>
      <w:r w:rsidR="00685363" w:rsidRPr="00A94CBD">
        <w:t>Allios</w:t>
      </w:r>
      <w:proofErr w:type="spellEnd"/>
      <w:r w:rsidR="00685363" w:rsidRPr="00A94CBD">
        <w:t>, qui est étudié dans cette recherche.</w:t>
      </w:r>
    </w:p>
    <w:p w14:paraId="17B09E3F" w14:textId="4F2123B4" w:rsidR="00FA0569" w:rsidRDefault="00E35954" w:rsidP="00D26FB9">
      <w:pPr>
        <w:pStyle w:val="Titre2"/>
      </w:pPr>
      <w:bookmarkStart w:id="4" w:name="_Toc41940507"/>
      <w:proofErr w:type="spellStart"/>
      <w:r>
        <w:t>Allios</w:t>
      </w:r>
      <w:proofErr w:type="spellEnd"/>
      <w:r>
        <w:t xml:space="preserve"> : </w:t>
      </w:r>
      <w:r w:rsidR="00FA0569">
        <w:t>repères chronologiques</w:t>
      </w:r>
      <w:bookmarkEnd w:id="4"/>
      <w:r w:rsidR="00FA0569">
        <w:t xml:space="preserve"> </w:t>
      </w:r>
    </w:p>
    <w:p w14:paraId="6DB3A3B0" w14:textId="59E983B8" w:rsidR="005F4FC1" w:rsidRDefault="00685363" w:rsidP="00FA0569">
      <w:r>
        <w:t>Lors des premières réunions de travail</w:t>
      </w:r>
      <w:r w:rsidR="00FA0569" w:rsidRPr="00795535">
        <w:t>, les</w:t>
      </w:r>
      <w:r w:rsidR="00872583">
        <w:t xml:space="preserve"> quatre</w:t>
      </w:r>
      <w:r w:rsidR="00FA0569" w:rsidRPr="00795535">
        <w:t xml:space="preserve"> instituts travaillent autour d’un projet de développement d’une solution numérique de collecte de données cliniques afin de faire progresser les pratiques. </w:t>
      </w:r>
      <w:r>
        <w:t xml:space="preserve">L’envie d’aller plus loin </w:t>
      </w:r>
      <w:r w:rsidR="00FA0569" w:rsidRPr="00795535">
        <w:t xml:space="preserve">se confirme </w:t>
      </w:r>
      <w:r>
        <w:t xml:space="preserve">progressivement </w:t>
      </w:r>
      <w:r w:rsidR="00FA0569" w:rsidRPr="00795535">
        <w:t xml:space="preserve">et </w:t>
      </w:r>
      <w:r>
        <w:t xml:space="preserve">d’autres </w:t>
      </w:r>
      <w:r w:rsidR="00FA0569" w:rsidRPr="00795535">
        <w:t>collaboration</w:t>
      </w:r>
      <w:r w:rsidR="006F1338">
        <w:t>s</w:t>
      </w:r>
      <w:r>
        <w:t xml:space="preserve"> sont envisagées, telles l’</w:t>
      </w:r>
      <w:r w:rsidR="00FA0569" w:rsidRPr="00795535">
        <w:t xml:space="preserve">ingénierie </w:t>
      </w:r>
      <w:r>
        <w:t>et l’organisation pédagogiques.</w:t>
      </w:r>
      <w:r w:rsidR="00FA0569" w:rsidRPr="00795535">
        <w:t xml:space="preserve"> En mars 2019, l</w:t>
      </w:r>
      <w:r w:rsidR="00872583">
        <w:t>’un des quatre</w:t>
      </w:r>
      <w:r>
        <w:t xml:space="preserve"> </w:t>
      </w:r>
      <w:r w:rsidR="005F4FC1">
        <w:t>protagonistes</w:t>
      </w:r>
      <w:r>
        <w:t xml:space="preserve"> quitte le projet</w:t>
      </w:r>
      <w:r w:rsidR="00FA0569" w:rsidRPr="00795535">
        <w:t xml:space="preserve">. Les </w:t>
      </w:r>
      <w:r w:rsidR="00872583">
        <w:t>trois</w:t>
      </w:r>
      <w:r w:rsidR="00FA0569" w:rsidRPr="00795535">
        <w:t xml:space="preserve"> autres instituts </w:t>
      </w:r>
      <w:r w:rsidR="005F4FC1">
        <w:t>(</w:t>
      </w:r>
      <w:proofErr w:type="spellStart"/>
      <w:r w:rsidR="005F4FC1" w:rsidRPr="00795535">
        <w:t>Ostéobio</w:t>
      </w:r>
      <w:proofErr w:type="spellEnd"/>
      <w:r w:rsidR="005F4FC1" w:rsidRPr="00795535">
        <w:t xml:space="preserve"> Cachan, </w:t>
      </w:r>
      <w:r w:rsidR="005F4FC1" w:rsidRPr="00795535">
        <w:lastRenderedPageBreak/>
        <w:t>IFSO Rennes, IFSO Vichy</w:t>
      </w:r>
      <w:r w:rsidR="005F4FC1">
        <w:t>)</w:t>
      </w:r>
      <w:r w:rsidR="005F4FC1" w:rsidRPr="00795535">
        <w:t xml:space="preserve"> </w:t>
      </w:r>
      <w:r>
        <w:t>prolongent</w:t>
      </w:r>
      <w:r w:rsidR="00FA0569" w:rsidRPr="00795535">
        <w:t xml:space="preserve"> leurs réflexions sur les </w:t>
      </w:r>
      <w:r>
        <w:t>formes</w:t>
      </w:r>
      <w:r w:rsidR="00FA0569" w:rsidRPr="00795535">
        <w:t xml:space="preserve"> que pourraient prendr</w:t>
      </w:r>
      <w:r>
        <w:t>e un rapprochement fonctionnel et s’accordent en octobre 2019 sur un</w:t>
      </w:r>
      <w:r w:rsidR="004E36BE">
        <w:t xml:space="preserve"> Groupement d’Intérêt Économique (GIE)</w:t>
      </w:r>
      <w:r>
        <w:t xml:space="preserve"> baptisé </w:t>
      </w:r>
      <w:proofErr w:type="spellStart"/>
      <w:r>
        <w:t>Allios</w:t>
      </w:r>
      <w:proofErr w:type="spellEnd"/>
      <w:r>
        <w:t xml:space="preserve">, </w:t>
      </w:r>
      <w:r w:rsidR="00FA0569">
        <w:t xml:space="preserve">contraction des mots </w:t>
      </w:r>
      <w:r>
        <w:t>« </w:t>
      </w:r>
      <w:r w:rsidR="00FA0569">
        <w:t>alliance</w:t>
      </w:r>
      <w:r>
        <w:t> »</w:t>
      </w:r>
      <w:r w:rsidR="00FA0569">
        <w:t xml:space="preserve"> et </w:t>
      </w:r>
      <w:r>
        <w:t>« </w:t>
      </w:r>
      <w:r w:rsidR="00FA0569">
        <w:t>ostéopathie</w:t>
      </w:r>
      <w:r>
        <w:t> »</w:t>
      </w:r>
      <w:r w:rsidR="00FA0569">
        <w:t xml:space="preserve">. </w:t>
      </w:r>
    </w:p>
    <w:p w14:paraId="1F9B77BF" w14:textId="54932876" w:rsidR="005F4FC1" w:rsidRDefault="00464EA1" w:rsidP="005F4FC1">
      <w:r>
        <w:t>Les</w:t>
      </w:r>
      <w:r w:rsidR="005F4FC1">
        <w:t xml:space="preserve"> trois membres du GIE </w:t>
      </w:r>
      <w:r>
        <w:t>ont des points communs indéniables :</w:t>
      </w:r>
      <w:r w:rsidR="005F4FC1">
        <w:rPr>
          <w:color w:val="000000" w:themeColor="text1"/>
        </w:rPr>
        <w:t xml:space="preserve"> </w:t>
      </w:r>
      <w:r>
        <w:rPr>
          <w:color w:val="000000" w:themeColor="text1"/>
        </w:rPr>
        <w:t>l</w:t>
      </w:r>
      <w:r w:rsidR="005F4FC1">
        <w:rPr>
          <w:color w:val="000000" w:themeColor="text1"/>
        </w:rPr>
        <w:t>es dirigeants sont diplômés de grandes écoles ou ont des parcours universitaires</w:t>
      </w:r>
      <w:r>
        <w:rPr>
          <w:color w:val="000000" w:themeColor="text1"/>
        </w:rPr>
        <w:t> ;</w:t>
      </w:r>
      <w:r w:rsidR="005F4FC1">
        <w:rPr>
          <w:color w:val="000000" w:themeColor="text1"/>
        </w:rPr>
        <w:t xml:space="preserve"> </w:t>
      </w:r>
      <w:r>
        <w:rPr>
          <w:color w:val="000000" w:themeColor="text1"/>
        </w:rPr>
        <w:t>l</w:t>
      </w:r>
      <w:r w:rsidR="005F4FC1">
        <w:rPr>
          <w:color w:val="000000" w:themeColor="text1"/>
        </w:rPr>
        <w:t>e métier central est axé sur la connaissance et la prestat</w:t>
      </w:r>
      <w:r>
        <w:rPr>
          <w:color w:val="000000" w:themeColor="text1"/>
        </w:rPr>
        <w:t>ion intellectuelle de formation ;</w:t>
      </w:r>
      <w:r w:rsidR="005F4FC1">
        <w:rPr>
          <w:color w:val="000000" w:themeColor="text1"/>
        </w:rPr>
        <w:t xml:space="preserve"> </w:t>
      </w:r>
      <w:r>
        <w:rPr>
          <w:color w:val="000000" w:themeColor="text1"/>
        </w:rPr>
        <w:t>l</w:t>
      </w:r>
      <w:r w:rsidR="005F4FC1">
        <w:rPr>
          <w:color w:val="000000" w:themeColor="text1"/>
        </w:rPr>
        <w:t>es critères d’embauche se font sur des collaborateurs qui ont un hau</w:t>
      </w:r>
      <w:r>
        <w:rPr>
          <w:color w:val="000000" w:themeColor="text1"/>
        </w:rPr>
        <w:t>t niveau de formation initiale ; ils</w:t>
      </w:r>
      <w:r w:rsidR="005F4FC1">
        <w:rPr>
          <w:color w:val="000000" w:themeColor="text1"/>
        </w:rPr>
        <w:t xml:space="preserve"> partagent une stratégie centrée sur le produit et le client et le besoin d’innovation constante. </w:t>
      </w:r>
      <w:r>
        <w:rPr>
          <w:color w:val="000000" w:themeColor="text1"/>
        </w:rPr>
        <w:t>De plus, l</w:t>
      </w:r>
      <w:r w:rsidR="005F4FC1">
        <w:rPr>
          <w:color w:val="000000" w:themeColor="text1"/>
        </w:rPr>
        <w:t xml:space="preserve">es trois instituts sont engagés dans une démarche générale d’amélioration constante de la qualité des systèmes pédagogiques. Ils partagent une vision commune de l’ostéopathie et par conséquent </w:t>
      </w:r>
      <w:r w:rsidR="006F1338">
        <w:rPr>
          <w:color w:val="000000" w:themeColor="text1"/>
        </w:rPr>
        <w:t>d</w:t>
      </w:r>
      <w:r w:rsidR="005F4FC1">
        <w:rPr>
          <w:color w:val="000000" w:themeColor="text1"/>
        </w:rPr>
        <w:t xml:space="preserve">es éléments programmatiques de la formation en ostéopathie. Ils partagent également les mêmes valeurs dont l’identification a fait l’objet d’un travail spécifique au début du projet. </w:t>
      </w:r>
      <w:r w:rsidR="005F4FC1">
        <w:t>L’ostéopathie enseignée se veut globale, basée sur des valeurs de rigueur, de confraternité, d’honnê</w:t>
      </w:r>
      <w:r w:rsidR="006F1338">
        <w:t xml:space="preserve">teté, de respect et de plaisir, tout en respectant </w:t>
      </w:r>
      <w:r w:rsidR="005F4FC1">
        <w:t>les textes réglementaires en vigueur.</w:t>
      </w:r>
    </w:p>
    <w:p w14:paraId="2A4DA7F0" w14:textId="2640380C" w:rsidR="00FA0569" w:rsidRPr="00A94CBD" w:rsidRDefault="005F4FC1" w:rsidP="00FA0569">
      <w:r>
        <w:t>L</w:t>
      </w:r>
      <w:r w:rsidR="00685363">
        <w:t xml:space="preserve">e </w:t>
      </w:r>
      <w:r>
        <w:t>développement d’</w:t>
      </w:r>
      <w:proofErr w:type="spellStart"/>
      <w:r>
        <w:t>Allios</w:t>
      </w:r>
      <w:proofErr w:type="spellEnd"/>
      <w:r>
        <w:t xml:space="preserve"> </w:t>
      </w:r>
      <w:r w:rsidR="00685363">
        <w:t xml:space="preserve">se poursuit début </w:t>
      </w:r>
      <w:r w:rsidR="00FA0569">
        <w:t xml:space="preserve">2020 </w:t>
      </w:r>
      <w:r>
        <w:t>mais</w:t>
      </w:r>
      <w:r w:rsidR="00FA0569">
        <w:t xml:space="preserve"> voit son élan </w:t>
      </w:r>
      <w:r w:rsidR="009B2340">
        <w:t xml:space="preserve">provisoirement </w:t>
      </w:r>
      <w:r w:rsidR="00FA0569">
        <w:t xml:space="preserve">stoppé par la pandémie </w:t>
      </w:r>
      <w:r w:rsidR="005B068B">
        <w:t xml:space="preserve">de Covid-19 </w:t>
      </w:r>
      <w:r w:rsidR="00FA0569">
        <w:t>et le confinement qui en découle</w:t>
      </w:r>
      <w:r w:rsidR="00685363">
        <w:t xml:space="preserve">, les </w:t>
      </w:r>
      <w:r w:rsidR="00FA0569">
        <w:t xml:space="preserve">trois directions </w:t>
      </w:r>
      <w:r w:rsidR="00685363">
        <w:t>étant</w:t>
      </w:r>
      <w:r w:rsidR="00FA0569">
        <w:t xml:space="preserve"> contraintes de concentrer leurs ressources sur la réorganisation </w:t>
      </w:r>
      <w:r w:rsidR="00685363">
        <w:t xml:space="preserve">en urgence </w:t>
      </w:r>
      <w:r w:rsidR="00FA0569">
        <w:t>des systèmes pédagogiques.</w:t>
      </w:r>
      <w:r w:rsidR="00685363">
        <w:t xml:space="preserve"> Néanmoins, des contacts réguliers </w:t>
      </w:r>
      <w:r>
        <w:t>ont lieu</w:t>
      </w:r>
      <w:r w:rsidR="00685363">
        <w:t xml:space="preserve"> entre les dirigeants</w:t>
      </w:r>
      <w:r w:rsidR="009B2340">
        <w:t xml:space="preserve">. </w:t>
      </w:r>
      <w:r w:rsidR="009B2340" w:rsidRPr="00A94CBD">
        <w:t xml:space="preserve">En novembre, sollicités par d’autres instituts ayant eu connaissance du projet </w:t>
      </w:r>
      <w:proofErr w:type="spellStart"/>
      <w:r w:rsidR="009B2340" w:rsidRPr="00A94CBD">
        <w:t>Allios</w:t>
      </w:r>
      <w:proofErr w:type="spellEnd"/>
      <w:r w:rsidR="009B2340" w:rsidRPr="00A94CBD">
        <w:t>, les trois fondateurs organisent une présentation</w:t>
      </w:r>
      <w:r w:rsidR="00464EA1" w:rsidRPr="00A94CBD">
        <w:t xml:space="preserve"> </w:t>
      </w:r>
      <w:r w:rsidR="009B2340" w:rsidRPr="00A94CBD">
        <w:t>devant sept autres dirigeants</w:t>
      </w:r>
      <w:r w:rsidRPr="00A94CBD">
        <w:t>.</w:t>
      </w:r>
      <w:r w:rsidR="009B2340" w:rsidRPr="00A94CBD">
        <w:t xml:space="preserve"> En janvier 2021</w:t>
      </w:r>
      <w:r w:rsidR="00A94CBD" w:rsidRPr="00A94CBD">
        <w:t xml:space="preserve"> (donc postérieurement aux investigations de terrain menées dans le cadre de notre recherche)</w:t>
      </w:r>
      <w:r w:rsidR="009B2340" w:rsidRPr="00A94CBD">
        <w:t xml:space="preserve">, le projet </w:t>
      </w:r>
      <w:proofErr w:type="spellStart"/>
      <w:r w:rsidR="009B2340" w:rsidRPr="00A94CBD">
        <w:t>Allios</w:t>
      </w:r>
      <w:proofErr w:type="spellEnd"/>
      <w:r w:rsidR="009B2340" w:rsidRPr="00A94CBD">
        <w:t xml:space="preserve"> regroupe au total </w:t>
      </w:r>
      <w:r w:rsidR="00A94CBD" w:rsidRPr="00A94CBD">
        <w:t>neuf</w:t>
      </w:r>
      <w:r w:rsidR="009B2340" w:rsidRPr="00A94CBD">
        <w:t xml:space="preserve"> instituts de formation en ostéopathie répartis sur tout le territoire hexagonal. </w:t>
      </w:r>
    </w:p>
    <w:p w14:paraId="5F100A58" w14:textId="77777777" w:rsidR="00FA0569" w:rsidRDefault="00927DCA" w:rsidP="00D26FB9">
      <w:pPr>
        <w:pStyle w:val="Titre2"/>
      </w:pPr>
      <w:r>
        <w:t xml:space="preserve">Collecte et </w:t>
      </w:r>
      <w:r w:rsidRPr="000D438E">
        <w:t>traitement</w:t>
      </w:r>
      <w:r>
        <w:t xml:space="preserve"> des données</w:t>
      </w:r>
    </w:p>
    <w:p w14:paraId="0569AF7C" w14:textId="52F4951D" w:rsidR="004E36BE" w:rsidRPr="004E36BE" w:rsidRDefault="004E36BE" w:rsidP="004E36BE">
      <w:r>
        <w:t xml:space="preserve">Cette recherche s’appuie sur une approche compréhensive, permettant de décrire et expliquer un phénomène (Dana &amp; Dumez, 2015). </w:t>
      </w:r>
      <w:r w:rsidR="00094E91">
        <w:t xml:space="preserve">Une démarche qualitative est privilégiée, </w:t>
      </w:r>
      <w:r w:rsidR="005B068B">
        <w:t>combinant</w:t>
      </w:r>
      <w:r w:rsidR="00094E91">
        <w:t xml:space="preserve"> questionn</w:t>
      </w:r>
      <w:r w:rsidR="006F1338">
        <w:t>aires d’association sémantique, entretiens semi-directifs</w:t>
      </w:r>
      <w:r w:rsidR="00094E91">
        <w:t xml:space="preserve"> et observation participante,</w:t>
      </w:r>
      <w:r w:rsidR="001768CD">
        <w:t xml:space="preserve"> l’un des auteurs du présent</w:t>
      </w:r>
      <w:r w:rsidR="00094E91">
        <w:t xml:space="preserve"> </w:t>
      </w:r>
      <w:r w:rsidR="001768CD">
        <w:t xml:space="preserve">article </w:t>
      </w:r>
      <w:r w:rsidR="00094E91">
        <w:t>étant salarié de l’un des membres du GIE.</w:t>
      </w:r>
    </w:p>
    <w:p w14:paraId="427DDDEC" w14:textId="455A208C" w:rsidR="004E36BE" w:rsidRDefault="006F1338" w:rsidP="004E36BE">
      <w:r>
        <w:t>Conformément à notre question de recherche, n</w:t>
      </w:r>
      <w:r w:rsidR="004E36BE">
        <w:t xml:space="preserve">otre étude </w:t>
      </w:r>
      <w:r w:rsidR="00464EA1">
        <w:t xml:space="preserve">vise à identifier les représentations sociales du projet coopétitif </w:t>
      </w:r>
      <w:proofErr w:type="spellStart"/>
      <w:r w:rsidR="00464EA1">
        <w:t>Allios</w:t>
      </w:r>
      <w:proofErr w:type="spellEnd"/>
      <w:r w:rsidR="00464EA1">
        <w:t>, en s’intéressant aux</w:t>
      </w:r>
      <w:r w:rsidR="004E36BE">
        <w:t xml:space="preserve"> personnels des </w:t>
      </w:r>
      <w:r w:rsidR="00774FDE">
        <w:t xml:space="preserve">trois </w:t>
      </w:r>
      <w:r w:rsidR="004E36BE">
        <w:t xml:space="preserve">instituts </w:t>
      </w:r>
      <w:r w:rsidR="00774FDE">
        <w:t>fondateurs</w:t>
      </w:r>
      <w:r w:rsidR="004E36BE">
        <w:t xml:space="preserve"> du GIE</w:t>
      </w:r>
      <w:r w:rsidR="00464EA1">
        <w:t xml:space="preserve"> </w:t>
      </w:r>
      <w:r w:rsidR="004E36BE">
        <w:t xml:space="preserve">: IFSO Rennes, </w:t>
      </w:r>
      <w:proofErr w:type="spellStart"/>
      <w:r w:rsidR="004E36BE">
        <w:t>Ostéobio</w:t>
      </w:r>
      <w:proofErr w:type="spellEnd"/>
      <w:r w:rsidR="004E36BE">
        <w:t xml:space="preserve"> et IFSO Vichy. Puisque la perception de la coopétition semble varier selon les groupes professionnels dans les établissements de santé (</w:t>
      </w:r>
      <w:proofErr w:type="spellStart"/>
      <w:r w:rsidR="004E36BE">
        <w:t>Albert-Cromarias</w:t>
      </w:r>
      <w:proofErr w:type="spellEnd"/>
      <w:r w:rsidR="004E36BE">
        <w:t xml:space="preserve"> &amp; Dos Santos, 2020), n</w:t>
      </w:r>
      <w:r w:rsidR="004E36BE" w:rsidRPr="009E47F0">
        <w:t>ous avons identifié quatre niveaux</w:t>
      </w:r>
      <w:r w:rsidR="004E36BE">
        <w:t xml:space="preserve"> fonctionnels</w:t>
      </w:r>
      <w:r w:rsidR="004E36BE" w:rsidRPr="009E47F0">
        <w:t xml:space="preserve"> communs aux trois </w:t>
      </w:r>
      <w:r w:rsidR="004E36BE" w:rsidRPr="009E47F0">
        <w:lastRenderedPageBreak/>
        <w:t xml:space="preserve">instituts servant de support fonctionnel à l’organisation. Il s’agit du top management </w:t>
      </w:r>
      <w:r w:rsidR="00464EA1">
        <w:t>(</w:t>
      </w:r>
      <w:r w:rsidR="004E36BE" w:rsidRPr="009E47F0">
        <w:t>représenté par les directeurs généraux</w:t>
      </w:r>
      <w:r w:rsidR="00464EA1">
        <w:t>)</w:t>
      </w:r>
      <w:r w:rsidR="004E36BE" w:rsidRPr="009E47F0">
        <w:t xml:space="preserve">, </w:t>
      </w:r>
      <w:r w:rsidR="004E36BE">
        <w:t xml:space="preserve">des </w:t>
      </w:r>
      <w:r w:rsidR="004E36BE" w:rsidRPr="009E47F0">
        <w:t xml:space="preserve">assistants administratifs, des coordinateurs pédagogiques </w:t>
      </w:r>
      <w:r w:rsidR="004E36BE">
        <w:t>(qui conjuguent à la fois une mission administrative avec une mission pédagogique)</w:t>
      </w:r>
      <w:r w:rsidR="004E36BE" w:rsidRPr="009E47F0">
        <w:t xml:space="preserve"> et des formateurs vacataires. </w:t>
      </w:r>
    </w:p>
    <w:p w14:paraId="71B77136" w14:textId="7CD50E54" w:rsidR="004E36BE" w:rsidRDefault="004E36BE" w:rsidP="004E36BE">
      <w:r>
        <w:t xml:space="preserve">Nous avons contacté les directeurs des instituts concernés pour leur expliquer le cadre du travail de recherche. Nous leur avons demandé de sélectionner eux-mêmes, </w:t>
      </w:r>
      <w:r w:rsidR="00A558CE">
        <w:t>a</w:t>
      </w:r>
      <w:r>
        <w:t>u sein de leur institut, les personnels corresp</w:t>
      </w:r>
      <w:r w:rsidR="00464EA1">
        <w:t>ondant aux critères recherchés.</w:t>
      </w:r>
    </w:p>
    <w:p w14:paraId="171F3BC9" w14:textId="1226EB0F" w:rsidR="00927DCA" w:rsidRDefault="006F1338" w:rsidP="00927DCA">
      <w:r>
        <w:t>Dans une première phase</w:t>
      </w:r>
      <w:r w:rsidR="004E36BE">
        <w:t xml:space="preserve">, </w:t>
      </w:r>
      <w:r w:rsidR="00927DCA">
        <w:t>un</w:t>
      </w:r>
      <w:r w:rsidR="004E36BE" w:rsidRPr="00BF0116">
        <w:t xml:space="preserve"> questionnaire</w:t>
      </w:r>
      <w:r w:rsidR="004E36BE">
        <w:t xml:space="preserve"> d’association sémantique</w:t>
      </w:r>
      <w:r w:rsidR="004E36BE" w:rsidRPr="00BF0116">
        <w:t xml:space="preserve"> </w:t>
      </w:r>
      <w:r w:rsidR="00927DCA">
        <w:t>a</w:t>
      </w:r>
      <w:r w:rsidR="004E36BE" w:rsidRPr="00BF0116">
        <w:t xml:space="preserve"> été diffusé par mail aux </w:t>
      </w:r>
      <w:r w:rsidR="00927DCA">
        <w:t>collaborateurs, utilisant la méthode du résea</w:t>
      </w:r>
      <w:r w:rsidR="00DF09AD">
        <w:t>u d’association (De Rosa, 1995)</w:t>
      </w:r>
      <w:r>
        <w:t xml:space="preserve">, en trois étapes : </w:t>
      </w:r>
    </w:p>
    <w:p w14:paraId="24453CC7" w14:textId="77EB3754" w:rsidR="00927DCA" w:rsidRDefault="00927DCA" w:rsidP="005869AB">
      <w:pPr>
        <w:numPr>
          <w:ilvl w:val="0"/>
          <w:numId w:val="10"/>
        </w:numPr>
        <w:ind w:left="425" w:hanging="357"/>
      </w:pPr>
      <w:r>
        <w:t>Il s’agit d’écrire</w:t>
      </w:r>
      <w:r w:rsidR="005B068B">
        <w:t>,</w:t>
      </w:r>
      <w:r>
        <w:t xml:space="preserve"> au milieu d’un</w:t>
      </w:r>
      <w:r w:rsidR="00464EA1">
        <w:t>e feuille</w:t>
      </w:r>
      <w:r w:rsidR="005B068B">
        <w:t>,</w:t>
      </w:r>
      <w:r w:rsidR="00464EA1">
        <w:t xml:space="preserve"> le mot inducteur (ici, nous avons retenu le terme </w:t>
      </w:r>
      <w:r w:rsidR="00F93181">
        <w:t>« a</w:t>
      </w:r>
      <w:r>
        <w:t>lliance »</w:t>
      </w:r>
      <w:r w:rsidR="00464EA1">
        <w:t>, plus compréhensi</w:t>
      </w:r>
      <w:r w:rsidR="00F93181">
        <w:t>ble que celui de « coopétition »</w:t>
      </w:r>
      <w:r w:rsidR="00464EA1">
        <w:t xml:space="preserve">), puis il est demandé à l’interviewé </w:t>
      </w:r>
      <w:r>
        <w:t>de produire 12 mots qui lui viennent rapidement à l’esprit et de les répartir sur la feuille. Au fur et à m</w:t>
      </w:r>
      <w:r w:rsidR="00464EA1">
        <w:t xml:space="preserve">esure qu’il marque les mots, l’interviewé </w:t>
      </w:r>
      <w:r>
        <w:t>doit noter à la suite le numéro de l’ordre d’apparition du mot.</w:t>
      </w:r>
    </w:p>
    <w:p w14:paraId="0F395EF6" w14:textId="7CB009AA" w:rsidR="00927DCA" w:rsidRDefault="00F93181" w:rsidP="005869AB">
      <w:pPr>
        <w:numPr>
          <w:ilvl w:val="0"/>
          <w:numId w:val="10"/>
        </w:numPr>
        <w:ind w:left="425" w:hanging="357"/>
      </w:pPr>
      <w:r>
        <w:t>I</w:t>
      </w:r>
      <w:r w:rsidR="00464EA1">
        <w:t>l est</w:t>
      </w:r>
      <w:r>
        <w:t xml:space="preserve"> ensuite</w:t>
      </w:r>
      <w:r w:rsidR="00464EA1">
        <w:t xml:space="preserve"> demandé à l’interviewé </w:t>
      </w:r>
      <w:r w:rsidR="00927DCA">
        <w:t xml:space="preserve">de reconsidérer les mots qu’il a écrit en indiquant pour chacun la valeur </w:t>
      </w:r>
      <w:r w:rsidR="00464EA1">
        <w:t xml:space="preserve">(également nommée « polarité ») </w:t>
      </w:r>
      <w:r w:rsidR="00927DCA">
        <w:t>qu’il lui attribue : positive (+) ou négative (-), selon la signification qu</w:t>
      </w:r>
      <w:r w:rsidR="00464EA1">
        <w:t>e le mot</w:t>
      </w:r>
      <w:r w:rsidR="00927DCA">
        <w:t xml:space="preserve"> a pour lui.</w:t>
      </w:r>
    </w:p>
    <w:p w14:paraId="26FCAD7B" w14:textId="5EA683B0" w:rsidR="00927DCA" w:rsidRDefault="00927DCA" w:rsidP="005869AB">
      <w:pPr>
        <w:numPr>
          <w:ilvl w:val="0"/>
          <w:numId w:val="10"/>
        </w:numPr>
        <w:ind w:left="425" w:hanging="357"/>
      </w:pPr>
      <w:r>
        <w:t>Pour finir</w:t>
      </w:r>
      <w:r w:rsidR="00464EA1">
        <w:t xml:space="preserve">, l’interviewé </w:t>
      </w:r>
      <w:r>
        <w:t xml:space="preserve">doit classer les mots </w:t>
      </w:r>
      <w:r w:rsidR="006F1338">
        <w:t>(</w:t>
      </w:r>
      <w:r w:rsidR="00DF09AD">
        <w:t>du plus important</w:t>
      </w:r>
      <w:r>
        <w:t xml:space="preserve"> </w:t>
      </w:r>
      <w:r w:rsidR="006F1338">
        <w:t>I</w:t>
      </w:r>
      <w:r w:rsidR="00DF09AD">
        <w:t xml:space="preserve"> jusqu’à XII</w:t>
      </w:r>
      <w:r w:rsidR="006F1338">
        <w:t>).</w:t>
      </w:r>
    </w:p>
    <w:p w14:paraId="4697FE4E" w14:textId="7F7C64C4" w:rsidR="006B27E5" w:rsidRDefault="00464EA1" w:rsidP="00CD7F72">
      <w:r>
        <w:t xml:space="preserve">Nous avons </w:t>
      </w:r>
      <w:r w:rsidR="00F93181">
        <w:t>collect</w:t>
      </w:r>
      <w:r w:rsidR="00DF09AD">
        <w:t>é</w:t>
      </w:r>
      <w:r>
        <w:t xml:space="preserve"> </w:t>
      </w:r>
      <w:r w:rsidR="004E36BE" w:rsidRPr="00BF0116">
        <w:t>11 questionn</w:t>
      </w:r>
      <w:r w:rsidR="00B546FF">
        <w:t>aires d’association sémantique (</w:t>
      </w:r>
      <w:r w:rsidR="004E36BE" w:rsidRPr="00BF0116">
        <w:t xml:space="preserve">4 pour IFSO </w:t>
      </w:r>
      <w:r w:rsidR="00B546FF">
        <w:t>Rennes ; 4 pour</w:t>
      </w:r>
      <w:r w:rsidR="004E36BE" w:rsidRPr="00BF0116">
        <w:t xml:space="preserve"> </w:t>
      </w:r>
      <w:proofErr w:type="spellStart"/>
      <w:r w:rsidR="00B546FF">
        <w:t>Ostéobio</w:t>
      </w:r>
      <w:proofErr w:type="spellEnd"/>
      <w:r w:rsidR="00B546FF">
        <w:t> ;</w:t>
      </w:r>
      <w:r w:rsidR="004E36BE" w:rsidRPr="00BF0116">
        <w:t xml:space="preserve"> 3 pour IFSO Vichy</w:t>
      </w:r>
      <w:r w:rsidR="00B546FF">
        <w:t>)</w:t>
      </w:r>
      <w:r w:rsidR="004E36BE" w:rsidRPr="00BF0116">
        <w:t>.</w:t>
      </w:r>
      <w:r w:rsidR="00927DCA">
        <w:t xml:space="preserve"> </w:t>
      </w:r>
    </w:p>
    <w:p w14:paraId="5003E022" w14:textId="00DFB4B9" w:rsidR="00CD7F72" w:rsidRDefault="006B27E5" w:rsidP="00CD7F72">
      <w:r>
        <w:t xml:space="preserve">Dans un premier temps, </w:t>
      </w:r>
      <w:r w:rsidR="00927DCA" w:rsidRPr="00F17061">
        <w:t>un traitement des données par individu et par institut</w:t>
      </w:r>
      <w:r w:rsidR="00927DCA">
        <w:t xml:space="preserve"> </w:t>
      </w:r>
      <w:r>
        <w:t xml:space="preserve">a été fait </w:t>
      </w:r>
      <w:r w:rsidR="00927DCA">
        <w:t xml:space="preserve">selon l’analyse prototypique, qui </w:t>
      </w:r>
      <w:r w:rsidR="00927DCA" w:rsidRPr="00F17061">
        <w:t>a pour objectif d’étudier comment s’organisent les associations libres en différenciant les éléments centr</w:t>
      </w:r>
      <w:r w:rsidR="00927DCA">
        <w:t>aux des éléments périphériques</w:t>
      </w:r>
      <w:r w:rsidR="00927DCA" w:rsidRPr="00F17061">
        <w:t>.</w:t>
      </w:r>
      <w:r w:rsidR="00CD7F72">
        <w:t xml:space="preserve"> </w:t>
      </w:r>
      <w:r w:rsidR="00CD7F72" w:rsidRPr="00F17061">
        <w:t xml:space="preserve">Pour </w:t>
      </w:r>
      <w:r w:rsidR="00CD7F72">
        <w:t>cela,</w:t>
      </w:r>
      <w:r w:rsidR="00CD7F72" w:rsidRPr="00F17061">
        <w:t xml:space="preserve"> la fréquence d’apparition de chacun des termes </w:t>
      </w:r>
      <w:r w:rsidR="00CD7F72">
        <w:t>est croisée</w:t>
      </w:r>
      <w:r w:rsidR="00CD7F72" w:rsidRPr="00F17061">
        <w:t xml:space="preserve"> avec le rang</w:t>
      </w:r>
      <w:r w:rsidR="00CD7F72" w:rsidRPr="00F44721">
        <w:t xml:space="preserve"> d’importance moyen. Chacun des éléments obtient de cette façon une fréquence moyenne d’apparition et un rang d’importance moyen. Ces éléments sont ordonnés dans un tableau selon quatre possibilités</w:t>
      </w:r>
      <w:r w:rsidR="00CD7F72">
        <w:t xml:space="preserve"> (cf. Tableau </w:t>
      </w:r>
      <w:r w:rsidR="00E12290">
        <w:t>1</w:t>
      </w:r>
      <w:r w:rsidR="00CD7F72">
        <w:t>)</w:t>
      </w:r>
      <w:r w:rsidR="00CD7F72" w:rsidRPr="00F44721">
        <w:t xml:space="preserve">. </w:t>
      </w:r>
      <w:r w:rsidR="00464EA1">
        <w:t>Afin de respecter les préconisations d’</w:t>
      </w:r>
      <w:proofErr w:type="spellStart"/>
      <w:r w:rsidR="00464EA1">
        <w:t>Albric</w:t>
      </w:r>
      <w:proofErr w:type="spellEnd"/>
      <w:r w:rsidR="00464EA1">
        <w:t xml:space="preserve"> (2005), nous avons centré notre analyse sur les cases 1 </w:t>
      </w:r>
      <w:r w:rsidR="00E12290">
        <w:t xml:space="preserve">(noyau central) </w:t>
      </w:r>
      <w:r w:rsidR="00464EA1">
        <w:t>et 2</w:t>
      </w:r>
      <w:r w:rsidR="00E12290">
        <w:t xml:space="preserve"> (première périphérie)</w:t>
      </w:r>
      <w:r w:rsidR="00464EA1">
        <w:t>.</w:t>
      </w:r>
    </w:p>
    <w:p w14:paraId="6CAD53EA" w14:textId="20BAB261" w:rsidR="00CD7F72" w:rsidRDefault="00CD7F72" w:rsidP="00CD7F72">
      <w:pPr>
        <w:jc w:val="center"/>
      </w:pPr>
      <w:bookmarkStart w:id="5" w:name="_Toc41310548"/>
      <w:bookmarkStart w:id="6" w:name="_Toc41380148"/>
      <w:bookmarkStart w:id="7" w:name="_Toc41934872"/>
      <w:r w:rsidRPr="00CD7F72">
        <w:rPr>
          <w:b/>
        </w:rPr>
        <w:t xml:space="preserve">Tableau </w:t>
      </w:r>
      <w:r w:rsidR="00D26FB9">
        <w:rPr>
          <w:b/>
        </w:rPr>
        <w:t>1</w:t>
      </w:r>
      <w:r>
        <w:t> – Support de l’analyse prototypique</w:t>
      </w:r>
      <w:bookmarkEnd w:id="5"/>
      <w:bookmarkEnd w:id="6"/>
      <w:bookmarkEnd w:id="7"/>
    </w:p>
    <w:tbl>
      <w:tblPr>
        <w:tblStyle w:val="Grilledutableau"/>
        <w:tblW w:w="0" w:type="auto"/>
        <w:jc w:val="center"/>
        <w:tblLook w:val="04A0" w:firstRow="1" w:lastRow="0" w:firstColumn="1" w:lastColumn="0" w:noHBand="0" w:noVBand="1"/>
      </w:tblPr>
      <w:tblGrid>
        <w:gridCol w:w="2314"/>
        <w:gridCol w:w="3019"/>
        <w:gridCol w:w="3019"/>
      </w:tblGrid>
      <w:tr w:rsidR="00CD7F72" w14:paraId="6F42376D" w14:textId="77777777" w:rsidTr="00C23FAE">
        <w:trPr>
          <w:jc w:val="center"/>
        </w:trPr>
        <w:tc>
          <w:tcPr>
            <w:tcW w:w="2314" w:type="dxa"/>
            <w:vAlign w:val="center"/>
          </w:tcPr>
          <w:p w14:paraId="50792FAB" w14:textId="77777777" w:rsidR="00CD7F72" w:rsidRDefault="00CD7F72" w:rsidP="00C23FAE">
            <w:pPr>
              <w:spacing w:line="240" w:lineRule="auto"/>
              <w:jc w:val="center"/>
            </w:pPr>
          </w:p>
        </w:tc>
        <w:tc>
          <w:tcPr>
            <w:tcW w:w="3019" w:type="dxa"/>
            <w:vAlign w:val="center"/>
          </w:tcPr>
          <w:p w14:paraId="5426901B" w14:textId="77777777" w:rsidR="00CD7F72" w:rsidRDefault="00CD7F72" w:rsidP="00C23FAE">
            <w:pPr>
              <w:spacing w:line="240" w:lineRule="auto"/>
              <w:jc w:val="center"/>
            </w:pPr>
            <w:r>
              <w:t>Fréquence élevée</w:t>
            </w:r>
          </w:p>
        </w:tc>
        <w:tc>
          <w:tcPr>
            <w:tcW w:w="3019" w:type="dxa"/>
            <w:vAlign w:val="center"/>
          </w:tcPr>
          <w:p w14:paraId="6673459B" w14:textId="77777777" w:rsidR="00CD7F72" w:rsidRDefault="00CD7F72" w:rsidP="00C23FAE">
            <w:pPr>
              <w:spacing w:line="240" w:lineRule="auto"/>
              <w:jc w:val="center"/>
            </w:pPr>
            <w:r>
              <w:t>Fréquence basse</w:t>
            </w:r>
          </w:p>
        </w:tc>
      </w:tr>
      <w:tr w:rsidR="00CD7F72" w14:paraId="07E1068B" w14:textId="77777777" w:rsidTr="00C23FAE">
        <w:trPr>
          <w:jc w:val="center"/>
        </w:trPr>
        <w:tc>
          <w:tcPr>
            <w:tcW w:w="2314" w:type="dxa"/>
          </w:tcPr>
          <w:p w14:paraId="5A5554EB" w14:textId="77777777" w:rsidR="00CD7F72" w:rsidRDefault="00CD7F72" w:rsidP="00CD7F72">
            <w:pPr>
              <w:spacing w:line="240" w:lineRule="auto"/>
            </w:pPr>
            <w:r>
              <w:t xml:space="preserve">Rang moyen faible </w:t>
            </w:r>
          </w:p>
        </w:tc>
        <w:tc>
          <w:tcPr>
            <w:tcW w:w="3019" w:type="dxa"/>
          </w:tcPr>
          <w:p w14:paraId="16A7B32F" w14:textId="77777777" w:rsidR="00CD7F72" w:rsidRDefault="00CD7F72" w:rsidP="00CD7F72">
            <w:pPr>
              <w:spacing w:line="240" w:lineRule="auto"/>
            </w:pPr>
            <w:r>
              <w:t xml:space="preserve">Case 1 : Zone du noyau </w:t>
            </w:r>
          </w:p>
        </w:tc>
        <w:tc>
          <w:tcPr>
            <w:tcW w:w="3019" w:type="dxa"/>
          </w:tcPr>
          <w:p w14:paraId="3A91D68F" w14:textId="77777777" w:rsidR="00CD7F72" w:rsidRDefault="00CD7F72" w:rsidP="00CD7F72">
            <w:pPr>
              <w:spacing w:line="240" w:lineRule="auto"/>
            </w:pPr>
            <w:r>
              <w:t>Case 3 : Éléments contrastés</w:t>
            </w:r>
          </w:p>
        </w:tc>
      </w:tr>
      <w:tr w:rsidR="00CD7F72" w14:paraId="68E6B84D" w14:textId="77777777" w:rsidTr="00C23FAE">
        <w:trPr>
          <w:jc w:val="center"/>
        </w:trPr>
        <w:tc>
          <w:tcPr>
            <w:tcW w:w="2314" w:type="dxa"/>
          </w:tcPr>
          <w:p w14:paraId="5EC4A6C3" w14:textId="77777777" w:rsidR="00CD7F72" w:rsidRDefault="00CD7F72" w:rsidP="00CD7F72">
            <w:pPr>
              <w:spacing w:line="240" w:lineRule="auto"/>
            </w:pPr>
            <w:r>
              <w:t>Rang moyen élevé</w:t>
            </w:r>
          </w:p>
        </w:tc>
        <w:tc>
          <w:tcPr>
            <w:tcW w:w="3019" w:type="dxa"/>
          </w:tcPr>
          <w:p w14:paraId="393E5D62" w14:textId="77777777" w:rsidR="00CD7F72" w:rsidRDefault="00CD7F72" w:rsidP="00CD7F72">
            <w:pPr>
              <w:spacing w:line="240" w:lineRule="auto"/>
            </w:pPr>
            <w:r>
              <w:t>Case 2 : 1</w:t>
            </w:r>
            <w:r w:rsidRPr="00B6768C">
              <w:rPr>
                <w:vertAlign w:val="superscript"/>
              </w:rPr>
              <w:t>ère</w:t>
            </w:r>
            <w:r>
              <w:t xml:space="preserve"> périphérie </w:t>
            </w:r>
          </w:p>
        </w:tc>
        <w:tc>
          <w:tcPr>
            <w:tcW w:w="3019" w:type="dxa"/>
          </w:tcPr>
          <w:p w14:paraId="28914A93" w14:textId="77777777" w:rsidR="00CD7F72" w:rsidRDefault="00CD7F72" w:rsidP="00CD7F72">
            <w:pPr>
              <w:spacing w:line="240" w:lineRule="auto"/>
            </w:pPr>
            <w:r>
              <w:t>Case 4 : 2</w:t>
            </w:r>
            <w:r w:rsidRPr="00B6768C">
              <w:rPr>
                <w:vertAlign w:val="superscript"/>
              </w:rPr>
              <w:t>ème</w:t>
            </w:r>
            <w:r>
              <w:t xml:space="preserve"> périphérie </w:t>
            </w:r>
          </w:p>
        </w:tc>
      </w:tr>
    </w:tbl>
    <w:p w14:paraId="76394613" w14:textId="77777777" w:rsidR="00927DCA" w:rsidRDefault="00927DCA" w:rsidP="00927DCA"/>
    <w:p w14:paraId="0E423A85" w14:textId="00810C3B" w:rsidR="006B27E5" w:rsidRDefault="006B27E5" w:rsidP="006B27E5">
      <w:r>
        <w:t xml:space="preserve">Dans un second temps, une analyse catégorielle a été réalisée pour chaque institut en utilisant le matériel recueilli auprès des personnes sélectionnées par chaque dirigeant pour représenter </w:t>
      </w:r>
      <w:r>
        <w:lastRenderedPageBreak/>
        <w:t xml:space="preserve">les quatre groupes professionnels. La catégorisation permet de rapprocher des éléments différents suscités par le mot inducteur mais qui appartiennent au même champ sémantique. </w:t>
      </w:r>
    </w:p>
    <w:p w14:paraId="1B4CD278" w14:textId="18922A7C" w:rsidR="008061CE" w:rsidRDefault="006B27E5" w:rsidP="00B546FF">
      <w:r>
        <w:t>La deuxième phase est constituée d’</w:t>
      </w:r>
      <w:r w:rsidR="00B546FF">
        <w:t>entretiens semi-directifs</w:t>
      </w:r>
      <w:r>
        <w:t xml:space="preserve"> menés</w:t>
      </w:r>
      <w:r w:rsidR="00B546FF">
        <w:t xml:space="preserve"> auprès des mêmes personnes </w:t>
      </w:r>
      <w:r w:rsidR="00D26FB9">
        <w:t>(cf. Tableau 2</w:t>
      </w:r>
      <w:r w:rsidR="00F93181">
        <w:t xml:space="preserve">) – </w:t>
      </w:r>
      <w:r w:rsidR="00B546FF">
        <w:t>à</w:t>
      </w:r>
      <w:r w:rsidR="00F93181">
        <w:t xml:space="preserve"> </w:t>
      </w:r>
      <w:r w:rsidR="00B546FF">
        <w:t>l’exception des directeurs dont les éléments narratifs ont déjà été révélés au cours des réunions de tr</w:t>
      </w:r>
      <w:r>
        <w:t xml:space="preserve">avail </w:t>
      </w:r>
      <w:proofErr w:type="spellStart"/>
      <w:r w:rsidR="006F1338">
        <w:t>Allios</w:t>
      </w:r>
      <w:proofErr w:type="spellEnd"/>
      <w:r w:rsidR="00F93181">
        <w:t xml:space="preserve"> –</w:t>
      </w:r>
      <w:r w:rsidR="00BF5557">
        <w:t xml:space="preserve"> </w:t>
      </w:r>
      <w:r>
        <w:t>sur</w:t>
      </w:r>
      <w:r w:rsidR="00F93181">
        <w:t xml:space="preserve"> </w:t>
      </w:r>
      <w:r w:rsidR="002621DB">
        <w:t>la base d’un guide d’entretien centré sur le niveau de connaissance du projet par les interviewés, leur compréhension, l’intensité émotionnelle généré</w:t>
      </w:r>
      <w:r w:rsidR="006F1338">
        <w:t>e</w:t>
      </w:r>
      <w:r w:rsidR="002621DB">
        <w:t xml:space="preserve"> par le projet et ses conséquences supposées.</w:t>
      </w:r>
      <w:r w:rsidR="00094E91">
        <w:t xml:space="preserve"> Les éléments ainsi recueillis ont permis de préciser certains résultats de l’étape précédente et de trianguler ainsi nos données.</w:t>
      </w:r>
    </w:p>
    <w:p w14:paraId="08787EF5" w14:textId="0ECF7813" w:rsidR="00BF5557" w:rsidRDefault="00BF5557" w:rsidP="00BF5557">
      <w:pPr>
        <w:spacing w:line="240" w:lineRule="auto"/>
        <w:jc w:val="center"/>
      </w:pPr>
      <w:r w:rsidRPr="00D9038A">
        <w:rPr>
          <w:b/>
        </w:rPr>
        <w:t>Tabl</w:t>
      </w:r>
      <w:r>
        <w:rPr>
          <w:b/>
        </w:rPr>
        <w:t xml:space="preserve">eau </w:t>
      </w:r>
      <w:r w:rsidR="00D26FB9">
        <w:rPr>
          <w:b/>
        </w:rPr>
        <w:t>2</w:t>
      </w:r>
      <w:r>
        <w:t xml:space="preserve"> – Personnes interviewées (entretiens semi-directifs)</w:t>
      </w:r>
    </w:p>
    <w:p w14:paraId="11AB32F5" w14:textId="77777777" w:rsidR="00BF5557" w:rsidRDefault="00BF5557" w:rsidP="00BF5557">
      <w:pPr>
        <w:spacing w:line="240" w:lineRule="auto"/>
        <w:jc w:val="center"/>
      </w:pPr>
    </w:p>
    <w:tbl>
      <w:tblPr>
        <w:tblStyle w:val="Grilledutableau"/>
        <w:tblW w:w="0" w:type="auto"/>
        <w:jc w:val="center"/>
        <w:tblLook w:val="04A0" w:firstRow="1" w:lastRow="0" w:firstColumn="1" w:lastColumn="0" w:noHBand="0" w:noVBand="1"/>
      </w:tblPr>
      <w:tblGrid>
        <w:gridCol w:w="3256"/>
        <w:gridCol w:w="1274"/>
        <w:gridCol w:w="1135"/>
        <w:gridCol w:w="1134"/>
      </w:tblGrid>
      <w:tr w:rsidR="00BF5557" w14:paraId="50C79E92" w14:textId="77777777" w:rsidTr="00700942">
        <w:trPr>
          <w:jc w:val="center"/>
        </w:trPr>
        <w:tc>
          <w:tcPr>
            <w:tcW w:w="3256" w:type="dxa"/>
            <w:vAlign w:val="center"/>
          </w:tcPr>
          <w:p w14:paraId="6FCE8C16" w14:textId="77777777" w:rsidR="00BF5557" w:rsidRDefault="00BF5557" w:rsidP="00700942">
            <w:pPr>
              <w:spacing w:line="240" w:lineRule="auto"/>
              <w:jc w:val="center"/>
            </w:pPr>
          </w:p>
        </w:tc>
        <w:tc>
          <w:tcPr>
            <w:tcW w:w="1274" w:type="dxa"/>
            <w:vAlign w:val="center"/>
          </w:tcPr>
          <w:p w14:paraId="61E112D7" w14:textId="77777777" w:rsidR="00BF5557" w:rsidRDefault="00BF5557" w:rsidP="00700942">
            <w:pPr>
              <w:spacing w:line="240" w:lineRule="auto"/>
              <w:jc w:val="center"/>
            </w:pPr>
            <w:r>
              <w:t>IFSO Rennes</w:t>
            </w:r>
          </w:p>
        </w:tc>
        <w:tc>
          <w:tcPr>
            <w:tcW w:w="1135" w:type="dxa"/>
            <w:vAlign w:val="center"/>
          </w:tcPr>
          <w:p w14:paraId="129C9CD9" w14:textId="77777777" w:rsidR="00BF5557" w:rsidRDefault="00BF5557" w:rsidP="00700942">
            <w:pPr>
              <w:spacing w:line="240" w:lineRule="auto"/>
              <w:jc w:val="center"/>
            </w:pPr>
            <w:proofErr w:type="spellStart"/>
            <w:r>
              <w:t>Ostéobio</w:t>
            </w:r>
            <w:proofErr w:type="spellEnd"/>
          </w:p>
        </w:tc>
        <w:tc>
          <w:tcPr>
            <w:tcW w:w="1134" w:type="dxa"/>
            <w:vAlign w:val="center"/>
          </w:tcPr>
          <w:p w14:paraId="1D39E309" w14:textId="77777777" w:rsidR="00BF5557" w:rsidRDefault="00BF5557" w:rsidP="00700942">
            <w:pPr>
              <w:spacing w:line="240" w:lineRule="auto"/>
              <w:jc w:val="center"/>
            </w:pPr>
            <w:r>
              <w:t>IFSO Vichy</w:t>
            </w:r>
          </w:p>
        </w:tc>
      </w:tr>
      <w:tr w:rsidR="00BF5557" w14:paraId="74A4C168" w14:textId="77777777" w:rsidTr="00700942">
        <w:trPr>
          <w:jc w:val="center"/>
        </w:trPr>
        <w:tc>
          <w:tcPr>
            <w:tcW w:w="3256" w:type="dxa"/>
          </w:tcPr>
          <w:p w14:paraId="151B19C3" w14:textId="77777777" w:rsidR="00BF5557" w:rsidRDefault="00BF5557" w:rsidP="00700942">
            <w:pPr>
              <w:spacing w:line="240" w:lineRule="auto"/>
            </w:pPr>
            <w:r>
              <w:t>Assistants Administratifs</w:t>
            </w:r>
          </w:p>
        </w:tc>
        <w:tc>
          <w:tcPr>
            <w:tcW w:w="1274" w:type="dxa"/>
          </w:tcPr>
          <w:p w14:paraId="4BB815B2" w14:textId="77777777" w:rsidR="00BF5557" w:rsidRDefault="00BF5557" w:rsidP="00700942">
            <w:pPr>
              <w:spacing w:line="240" w:lineRule="auto"/>
              <w:jc w:val="center"/>
            </w:pPr>
            <w:r>
              <w:t>[R1]</w:t>
            </w:r>
          </w:p>
        </w:tc>
        <w:tc>
          <w:tcPr>
            <w:tcW w:w="1135" w:type="dxa"/>
          </w:tcPr>
          <w:p w14:paraId="70252EEB" w14:textId="77777777" w:rsidR="00BF5557" w:rsidRDefault="00BF5557" w:rsidP="00700942">
            <w:pPr>
              <w:spacing w:line="240" w:lineRule="auto"/>
              <w:jc w:val="center"/>
            </w:pPr>
            <w:r>
              <w:t>[O1]</w:t>
            </w:r>
          </w:p>
        </w:tc>
        <w:tc>
          <w:tcPr>
            <w:tcW w:w="1134" w:type="dxa"/>
          </w:tcPr>
          <w:p w14:paraId="5D85E4BB" w14:textId="77777777" w:rsidR="00BF5557" w:rsidRDefault="00BF5557" w:rsidP="00700942">
            <w:pPr>
              <w:spacing w:line="240" w:lineRule="auto"/>
              <w:jc w:val="center"/>
            </w:pPr>
            <w:r>
              <w:t>[V1]</w:t>
            </w:r>
          </w:p>
        </w:tc>
      </w:tr>
      <w:tr w:rsidR="00BF5557" w14:paraId="2B69C62C" w14:textId="77777777" w:rsidTr="00700942">
        <w:trPr>
          <w:jc w:val="center"/>
        </w:trPr>
        <w:tc>
          <w:tcPr>
            <w:tcW w:w="3256" w:type="dxa"/>
          </w:tcPr>
          <w:p w14:paraId="6F9CAD10" w14:textId="77777777" w:rsidR="00BF5557" w:rsidRDefault="00BF5557" w:rsidP="00700942">
            <w:pPr>
              <w:spacing w:line="240" w:lineRule="auto"/>
            </w:pPr>
            <w:r>
              <w:t>Coordinateurs pédagogiques</w:t>
            </w:r>
          </w:p>
        </w:tc>
        <w:tc>
          <w:tcPr>
            <w:tcW w:w="1274" w:type="dxa"/>
          </w:tcPr>
          <w:p w14:paraId="68A8296F" w14:textId="77777777" w:rsidR="00BF5557" w:rsidRDefault="00BF5557" w:rsidP="00700942">
            <w:pPr>
              <w:spacing w:line="240" w:lineRule="auto"/>
              <w:jc w:val="center"/>
            </w:pPr>
            <w:r>
              <w:t>[R2]</w:t>
            </w:r>
          </w:p>
        </w:tc>
        <w:tc>
          <w:tcPr>
            <w:tcW w:w="1135" w:type="dxa"/>
          </w:tcPr>
          <w:p w14:paraId="164A7373" w14:textId="77777777" w:rsidR="00BF5557" w:rsidRDefault="00BF5557" w:rsidP="00700942">
            <w:pPr>
              <w:spacing w:line="240" w:lineRule="auto"/>
              <w:jc w:val="center"/>
            </w:pPr>
            <w:r>
              <w:t>[O2]</w:t>
            </w:r>
          </w:p>
        </w:tc>
        <w:tc>
          <w:tcPr>
            <w:tcW w:w="1134" w:type="dxa"/>
          </w:tcPr>
          <w:p w14:paraId="413BBA60" w14:textId="77777777" w:rsidR="00BF5557" w:rsidRDefault="00BF5557" w:rsidP="00700942">
            <w:pPr>
              <w:spacing w:line="240" w:lineRule="auto"/>
              <w:jc w:val="center"/>
            </w:pPr>
            <w:r>
              <w:t>[V2]</w:t>
            </w:r>
          </w:p>
        </w:tc>
      </w:tr>
      <w:tr w:rsidR="00BF5557" w14:paraId="7BF6ED16" w14:textId="77777777" w:rsidTr="00700942">
        <w:trPr>
          <w:jc w:val="center"/>
        </w:trPr>
        <w:tc>
          <w:tcPr>
            <w:tcW w:w="3256" w:type="dxa"/>
          </w:tcPr>
          <w:p w14:paraId="13E462E6" w14:textId="77777777" w:rsidR="00BF5557" w:rsidRDefault="00BF5557" w:rsidP="00700942">
            <w:pPr>
              <w:spacing w:line="240" w:lineRule="auto"/>
            </w:pPr>
            <w:r>
              <w:t>Formateurs vacataires</w:t>
            </w:r>
          </w:p>
        </w:tc>
        <w:tc>
          <w:tcPr>
            <w:tcW w:w="1274" w:type="dxa"/>
          </w:tcPr>
          <w:p w14:paraId="3BB2CE06" w14:textId="77777777" w:rsidR="00BF5557" w:rsidRDefault="00BF5557" w:rsidP="00700942">
            <w:pPr>
              <w:spacing w:line="240" w:lineRule="auto"/>
              <w:jc w:val="center"/>
            </w:pPr>
            <w:r>
              <w:t>[R3]</w:t>
            </w:r>
          </w:p>
        </w:tc>
        <w:tc>
          <w:tcPr>
            <w:tcW w:w="1135" w:type="dxa"/>
          </w:tcPr>
          <w:p w14:paraId="5596860F" w14:textId="77777777" w:rsidR="00BF5557" w:rsidRDefault="00BF5557" w:rsidP="00700942">
            <w:pPr>
              <w:spacing w:line="240" w:lineRule="auto"/>
              <w:jc w:val="center"/>
            </w:pPr>
            <w:r>
              <w:t>[O3]</w:t>
            </w:r>
          </w:p>
        </w:tc>
        <w:tc>
          <w:tcPr>
            <w:tcW w:w="1134" w:type="dxa"/>
          </w:tcPr>
          <w:p w14:paraId="0AA1CB0A" w14:textId="77777777" w:rsidR="00BF5557" w:rsidRDefault="00BF5557" w:rsidP="00700942">
            <w:pPr>
              <w:spacing w:line="240" w:lineRule="auto"/>
              <w:jc w:val="center"/>
            </w:pPr>
            <w:r>
              <w:t>[V3]</w:t>
            </w:r>
          </w:p>
        </w:tc>
      </w:tr>
      <w:tr w:rsidR="00BF5557" w14:paraId="36577666" w14:textId="77777777" w:rsidTr="00700942">
        <w:trPr>
          <w:jc w:val="center"/>
        </w:trPr>
        <w:tc>
          <w:tcPr>
            <w:tcW w:w="3256" w:type="dxa"/>
          </w:tcPr>
          <w:p w14:paraId="4AF25682" w14:textId="77777777" w:rsidR="00BF5557" w:rsidRDefault="00BF5557" w:rsidP="00700942">
            <w:pPr>
              <w:spacing w:line="240" w:lineRule="auto"/>
              <w:jc w:val="right"/>
            </w:pPr>
            <w:r>
              <w:t>Total</w:t>
            </w:r>
          </w:p>
        </w:tc>
        <w:tc>
          <w:tcPr>
            <w:tcW w:w="1274" w:type="dxa"/>
          </w:tcPr>
          <w:p w14:paraId="4DED9A42" w14:textId="77777777" w:rsidR="00BF5557" w:rsidRDefault="00BF5557" w:rsidP="00700942">
            <w:pPr>
              <w:spacing w:line="240" w:lineRule="auto"/>
              <w:jc w:val="center"/>
            </w:pPr>
            <w:r>
              <w:t>3</w:t>
            </w:r>
          </w:p>
        </w:tc>
        <w:tc>
          <w:tcPr>
            <w:tcW w:w="1135" w:type="dxa"/>
          </w:tcPr>
          <w:p w14:paraId="2F43B86F" w14:textId="77777777" w:rsidR="00BF5557" w:rsidRDefault="00BF5557" w:rsidP="00700942">
            <w:pPr>
              <w:spacing w:line="240" w:lineRule="auto"/>
              <w:jc w:val="center"/>
            </w:pPr>
            <w:r>
              <w:t>3</w:t>
            </w:r>
          </w:p>
        </w:tc>
        <w:tc>
          <w:tcPr>
            <w:tcW w:w="1134" w:type="dxa"/>
          </w:tcPr>
          <w:p w14:paraId="540747B9" w14:textId="77777777" w:rsidR="00BF5557" w:rsidRDefault="00BF5557" w:rsidP="00700942">
            <w:pPr>
              <w:spacing w:line="240" w:lineRule="auto"/>
              <w:jc w:val="center"/>
            </w:pPr>
            <w:r>
              <w:t>3</w:t>
            </w:r>
          </w:p>
        </w:tc>
      </w:tr>
    </w:tbl>
    <w:p w14:paraId="5465FA00" w14:textId="77777777" w:rsidR="00BF5557" w:rsidRDefault="00BF5557" w:rsidP="00BF5557"/>
    <w:p w14:paraId="6734AEC2" w14:textId="557B5ACE" w:rsidR="00B546FF" w:rsidRPr="00BF0116" w:rsidRDefault="00BF5557" w:rsidP="00B546FF">
      <w:r>
        <w:t>C</w:t>
      </w:r>
      <w:r w:rsidR="00B546FF">
        <w:t xml:space="preserve">es entretiens ont été mené </w:t>
      </w:r>
      <w:r w:rsidR="00133B7C">
        <w:t xml:space="preserve">en </w:t>
      </w:r>
      <w:r w:rsidR="00B546FF">
        <w:t>avril 2020, pendant la période de confinement sanitaire</w:t>
      </w:r>
      <w:r w:rsidR="00133B7C">
        <w:t xml:space="preserve"> au cours de laquelle tous les instituts avaient été mis à l’arrêt complet, les enseignements pratiques ayant été suspendus. </w:t>
      </w:r>
      <w:r w:rsidR="00B546FF">
        <w:t>Compte tenu du contexte sanitaire en vigueur à cette période, les entretiens ont été réalisés par téléphone, enregistrés puis retranscrits.</w:t>
      </w:r>
    </w:p>
    <w:p w14:paraId="45998EE3" w14:textId="59F8843E" w:rsidR="0039597F" w:rsidRDefault="004E1326" w:rsidP="00D26FB9">
      <w:pPr>
        <w:pStyle w:val="Titre1"/>
      </w:pPr>
      <w:r>
        <w:t>Les repr</w:t>
      </w:r>
      <w:r w:rsidR="00E35954">
        <w:t xml:space="preserve">ésentations sociales du projet </w:t>
      </w:r>
      <w:proofErr w:type="spellStart"/>
      <w:r w:rsidR="00E35954">
        <w:t>A</w:t>
      </w:r>
      <w:r>
        <w:t>llios</w:t>
      </w:r>
      <w:proofErr w:type="spellEnd"/>
      <w:r w:rsidR="0039597F">
        <w:t xml:space="preserve"> </w:t>
      </w:r>
    </w:p>
    <w:p w14:paraId="2F0B7EA5" w14:textId="77777777" w:rsidR="0039597F" w:rsidRDefault="007B6B11" w:rsidP="00D26FB9">
      <w:pPr>
        <w:pStyle w:val="Titre2"/>
        <w:rPr>
          <w:lang w:eastAsia="en-US"/>
        </w:rPr>
      </w:pPr>
      <w:r>
        <w:rPr>
          <w:lang w:eastAsia="en-US"/>
        </w:rPr>
        <w:t xml:space="preserve">Analyse </w:t>
      </w:r>
      <w:r w:rsidR="00D9038A">
        <w:rPr>
          <w:lang w:eastAsia="en-US"/>
        </w:rPr>
        <w:t>prototypique</w:t>
      </w:r>
      <w:r w:rsidR="000A671C">
        <w:rPr>
          <w:lang w:eastAsia="en-US"/>
        </w:rPr>
        <w:t xml:space="preserve"> </w:t>
      </w:r>
      <w:r>
        <w:rPr>
          <w:lang w:eastAsia="en-US"/>
        </w:rPr>
        <w:t>des éléments sémantiques</w:t>
      </w:r>
    </w:p>
    <w:p w14:paraId="67065429" w14:textId="22925E39" w:rsidR="00FA0569" w:rsidRDefault="00FA0569" w:rsidP="00FA0569">
      <w:r w:rsidRPr="0057757F">
        <w:t>Les données issues des</w:t>
      </w:r>
      <w:r w:rsidR="00E01FBB">
        <w:t xml:space="preserve"> 11</w:t>
      </w:r>
      <w:r w:rsidRPr="0057757F">
        <w:t xml:space="preserve"> questionn</w:t>
      </w:r>
      <w:r w:rsidR="00E01FBB">
        <w:t xml:space="preserve">aires d’association sémantique </w:t>
      </w:r>
      <w:r w:rsidRPr="0057757F">
        <w:t>ont été traitées avec le logiciel Excel. Nous avons</w:t>
      </w:r>
      <w:r>
        <w:t xml:space="preserve"> recueilli </w:t>
      </w:r>
      <w:r w:rsidR="001F7DAE">
        <w:t>un total de 132 mots ;</w:t>
      </w:r>
      <w:r w:rsidR="004E1326">
        <w:t xml:space="preserve"> les termes collectés concernant le noyau central et de la 1</w:t>
      </w:r>
      <w:r w:rsidR="004E1326" w:rsidRPr="004E1326">
        <w:rPr>
          <w:vertAlign w:val="superscript"/>
        </w:rPr>
        <w:t>ère</w:t>
      </w:r>
      <w:r w:rsidR="004E1326">
        <w:t xml:space="preserve"> périphérie (cf. Tableau </w:t>
      </w:r>
      <w:r w:rsidR="00D26FB9">
        <w:t>1</w:t>
      </w:r>
      <w:r w:rsidR="004E1326">
        <w:t xml:space="preserve">) </w:t>
      </w:r>
      <w:r w:rsidR="001F7DAE">
        <w:t>sont</w:t>
      </w:r>
      <w:r w:rsidR="004E1326">
        <w:t xml:space="preserve"> présentés dans le Tableau </w:t>
      </w:r>
      <w:r w:rsidR="002621DB">
        <w:t>3</w:t>
      </w:r>
      <w:r w:rsidR="004E1326">
        <w:t xml:space="preserve"> </w:t>
      </w:r>
      <w:r w:rsidR="00A97043">
        <w:t xml:space="preserve">par rang moyen d’importance </w:t>
      </w:r>
      <w:r w:rsidR="004E1326">
        <w:t xml:space="preserve">pour les </w:t>
      </w:r>
      <w:r w:rsidR="001F7DAE">
        <w:t>trois</w:t>
      </w:r>
      <w:r w:rsidR="004E1326">
        <w:t xml:space="preserve"> écoles.</w:t>
      </w:r>
    </w:p>
    <w:p w14:paraId="1F4D1175" w14:textId="77777777" w:rsidR="009A4342" w:rsidRDefault="009A4342" w:rsidP="009A4342">
      <w:r>
        <w:t xml:space="preserve">On constate que pour </w:t>
      </w:r>
      <w:r w:rsidRPr="006A23C9">
        <w:t>IFSO R</w:t>
      </w:r>
      <w:r>
        <w:t>ennes</w:t>
      </w:r>
      <w:r w:rsidRPr="006A23C9">
        <w:t xml:space="preserve">, les éléments forts sont tous positifs et sont </w:t>
      </w:r>
      <w:r>
        <w:t xml:space="preserve">représentés par </w:t>
      </w:r>
      <w:r w:rsidRPr="006A23C9">
        <w:t>les mots Confiance, Mutualisation, Intérêt, Projet et Échange.</w:t>
      </w:r>
      <w:r>
        <w:t xml:space="preserve"> Ils </w:t>
      </w:r>
      <w:r w:rsidRPr="006A23C9">
        <w:t xml:space="preserve">sont </w:t>
      </w:r>
      <w:r>
        <w:t xml:space="preserve">menés par la valeur « confiance ». La première périphérie contient un mot à polarité négative, « autonomie », qui, bien que relégué au rang 11 d’importance, participe tout de même à la dynamique représentationnelle et en cela, est susceptible de l’influencer. C’est donc globalement une représentation très positive qui se structure autour d’une dynamique de projet qui repose sur la confiance et implicitement sur la valeur d’honnêteté. </w:t>
      </w:r>
    </w:p>
    <w:p w14:paraId="7FB0AD1A" w14:textId="5F2CFEF6" w:rsidR="00FA0569" w:rsidRPr="0057757F" w:rsidRDefault="00FA0569" w:rsidP="00FA0569">
      <w:pPr>
        <w:jc w:val="center"/>
      </w:pPr>
      <w:bookmarkStart w:id="8" w:name="_Toc41310550"/>
      <w:bookmarkStart w:id="9" w:name="_Toc41380150"/>
      <w:bookmarkStart w:id="10" w:name="_Toc41934874"/>
      <w:r w:rsidRPr="00340842">
        <w:rPr>
          <w:b/>
        </w:rPr>
        <w:lastRenderedPageBreak/>
        <w:t xml:space="preserve">Tableau </w:t>
      </w:r>
      <w:r w:rsidR="002621DB">
        <w:rPr>
          <w:b/>
        </w:rPr>
        <w:t>3</w:t>
      </w:r>
      <w:r>
        <w:t> – Synthèse de la production sémantique des instituts</w:t>
      </w:r>
      <w:bookmarkEnd w:id="8"/>
      <w:bookmarkEnd w:id="9"/>
      <w:bookmarkEnd w:id="10"/>
    </w:p>
    <w:tbl>
      <w:tblPr>
        <w:tblStyle w:val="Grilledutableau"/>
        <w:tblW w:w="0" w:type="auto"/>
        <w:jc w:val="center"/>
        <w:tblLook w:val="04A0" w:firstRow="1" w:lastRow="0" w:firstColumn="1" w:lastColumn="0" w:noHBand="0" w:noVBand="1"/>
      </w:tblPr>
      <w:tblGrid>
        <w:gridCol w:w="1696"/>
        <w:gridCol w:w="2127"/>
        <w:gridCol w:w="1842"/>
        <w:gridCol w:w="1773"/>
        <w:gridCol w:w="1017"/>
      </w:tblGrid>
      <w:tr w:rsidR="00340842" w:rsidRPr="00C23FAE" w14:paraId="7788058C" w14:textId="77777777" w:rsidTr="004E1326">
        <w:trPr>
          <w:jc w:val="center"/>
        </w:trPr>
        <w:tc>
          <w:tcPr>
            <w:tcW w:w="1696" w:type="dxa"/>
            <w:vAlign w:val="center"/>
          </w:tcPr>
          <w:p w14:paraId="37EDBD73" w14:textId="77777777" w:rsidR="00340842" w:rsidRPr="00C23FAE" w:rsidRDefault="00340842" w:rsidP="00340842">
            <w:pPr>
              <w:spacing w:line="240" w:lineRule="auto"/>
              <w:jc w:val="center"/>
              <w:rPr>
                <w:sz w:val="22"/>
              </w:rPr>
            </w:pPr>
          </w:p>
        </w:tc>
        <w:tc>
          <w:tcPr>
            <w:tcW w:w="2127" w:type="dxa"/>
            <w:vAlign w:val="center"/>
          </w:tcPr>
          <w:p w14:paraId="3689BA1F" w14:textId="77777777" w:rsidR="00340842" w:rsidRPr="00C23FAE" w:rsidRDefault="00340842" w:rsidP="00340842">
            <w:pPr>
              <w:spacing w:line="240" w:lineRule="auto"/>
              <w:jc w:val="center"/>
              <w:rPr>
                <w:sz w:val="22"/>
              </w:rPr>
            </w:pPr>
            <w:r w:rsidRPr="00C23FAE">
              <w:rPr>
                <w:sz w:val="22"/>
              </w:rPr>
              <w:t>IFSO Rennes</w:t>
            </w:r>
          </w:p>
        </w:tc>
        <w:tc>
          <w:tcPr>
            <w:tcW w:w="1842" w:type="dxa"/>
            <w:vAlign w:val="center"/>
          </w:tcPr>
          <w:p w14:paraId="5CB60CD4" w14:textId="77777777" w:rsidR="00340842" w:rsidRPr="00C23FAE" w:rsidRDefault="00340842" w:rsidP="00340842">
            <w:pPr>
              <w:spacing w:line="240" w:lineRule="auto"/>
              <w:jc w:val="center"/>
              <w:rPr>
                <w:sz w:val="22"/>
              </w:rPr>
            </w:pPr>
            <w:proofErr w:type="spellStart"/>
            <w:r w:rsidRPr="00C23FAE">
              <w:rPr>
                <w:sz w:val="22"/>
              </w:rPr>
              <w:t>Ostéobio</w:t>
            </w:r>
            <w:proofErr w:type="spellEnd"/>
          </w:p>
        </w:tc>
        <w:tc>
          <w:tcPr>
            <w:tcW w:w="1773" w:type="dxa"/>
            <w:vAlign w:val="center"/>
          </w:tcPr>
          <w:p w14:paraId="4F170B7D" w14:textId="77777777" w:rsidR="00340842" w:rsidRPr="00C23FAE" w:rsidRDefault="00340842" w:rsidP="00340842">
            <w:pPr>
              <w:spacing w:line="240" w:lineRule="auto"/>
              <w:jc w:val="center"/>
              <w:rPr>
                <w:sz w:val="22"/>
              </w:rPr>
            </w:pPr>
            <w:r w:rsidRPr="00C23FAE">
              <w:rPr>
                <w:sz w:val="22"/>
              </w:rPr>
              <w:t>IFSO Vichy</w:t>
            </w:r>
          </w:p>
        </w:tc>
        <w:tc>
          <w:tcPr>
            <w:tcW w:w="1017" w:type="dxa"/>
            <w:vAlign w:val="center"/>
          </w:tcPr>
          <w:p w14:paraId="42209885" w14:textId="77777777" w:rsidR="00340842" w:rsidRPr="00C23FAE" w:rsidRDefault="00340842" w:rsidP="00340842">
            <w:pPr>
              <w:spacing w:line="240" w:lineRule="auto"/>
              <w:jc w:val="center"/>
              <w:rPr>
                <w:sz w:val="22"/>
              </w:rPr>
            </w:pPr>
            <w:r w:rsidRPr="00C23FAE">
              <w:rPr>
                <w:sz w:val="22"/>
              </w:rPr>
              <w:t>TOTAL</w:t>
            </w:r>
          </w:p>
        </w:tc>
      </w:tr>
      <w:tr w:rsidR="00340842" w:rsidRPr="00C23FAE" w14:paraId="79D31239" w14:textId="77777777" w:rsidTr="004E1326">
        <w:trPr>
          <w:jc w:val="center"/>
        </w:trPr>
        <w:tc>
          <w:tcPr>
            <w:tcW w:w="1696" w:type="dxa"/>
            <w:vAlign w:val="center"/>
          </w:tcPr>
          <w:p w14:paraId="3849C6E4" w14:textId="77777777" w:rsidR="00340842" w:rsidRPr="00C23FAE" w:rsidRDefault="00340842" w:rsidP="00340842">
            <w:pPr>
              <w:spacing w:line="240" w:lineRule="auto"/>
              <w:jc w:val="center"/>
              <w:rPr>
                <w:sz w:val="22"/>
              </w:rPr>
            </w:pPr>
            <w:r w:rsidRPr="00C23FAE">
              <w:rPr>
                <w:sz w:val="22"/>
              </w:rPr>
              <w:t>Nb de mots</w:t>
            </w:r>
          </w:p>
        </w:tc>
        <w:tc>
          <w:tcPr>
            <w:tcW w:w="2127" w:type="dxa"/>
            <w:vAlign w:val="center"/>
          </w:tcPr>
          <w:p w14:paraId="015FFC90" w14:textId="77777777" w:rsidR="00340842" w:rsidRPr="00C23FAE" w:rsidRDefault="00340842" w:rsidP="00340842">
            <w:pPr>
              <w:spacing w:line="240" w:lineRule="auto"/>
              <w:jc w:val="center"/>
              <w:rPr>
                <w:sz w:val="22"/>
              </w:rPr>
            </w:pPr>
            <w:r w:rsidRPr="00C23FAE">
              <w:rPr>
                <w:sz w:val="22"/>
              </w:rPr>
              <w:t>48</w:t>
            </w:r>
          </w:p>
        </w:tc>
        <w:tc>
          <w:tcPr>
            <w:tcW w:w="1842" w:type="dxa"/>
            <w:vAlign w:val="center"/>
          </w:tcPr>
          <w:p w14:paraId="5A68CAB8" w14:textId="77777777" w:rsidR="00340842" w:rsidRPr="00C23FAE" w:rsidRDefault="00340842" w:rsidP="00340842">
            <w:pPr>
              <w:spacing w:line="240" w:lineRule="auto"/>
              <w:jc w:val="center"/>
              <w:rPr>
                <w:sz w:val="22"/>
              </w:rPr>
            </w:pPr>
            <w:r w:rsidRPr="00C23FAE">
              <w:rPr>
                <w:sz w:val="22"/>
              </w:rPr>
              <w:t>48</w:t>
            </w:r>
          </w:p>
        </w:tc>
        <w:tc>
          <w:tcPr>
            <w:tcW w:w="1773" w:type="dxa"/>
            <w:vAlign w:val="center"/>
          </w:tcPr>
          <w:p w14:paraId="0135EDB5" w14:textId="77777777" w:rsidR="00340842" w:rsidRPr="00C23FAE" w:rsidRDefault="00340842" w:rsidP="00340842">
            <w:pPr>
              <w:spacing w:line="240" w:lineRule="auto"/>
              <w:jc w:val="center"/>
              <w:rPr>
                <w:sz w:val="22"/>
              </w:rPr>
            </w:pPr>
            <w:r w:rsidRPr="00C23FAE">
              <w:rPr>
                <w:sz w:val="22"/>
              </w:rPr>
              <w:t>36</w:t>
            </w:r>
          </w:p>
        </w:tc>
        <w:tc>
          <w:tcPr>
            <w:tcW w:w="1017" w:type="dxa"/>
            <w:vAlign w:val="center"/>
          </w:tcPr>
          <w:p w14:paraId="0CECF72C" w14:textId="77777777" w:rsidR="00340842" w:rsidRPr="00C23FAE" w:rsidRDefault="00340842" w:rsidP="00340842">
            <w:pPr>
              <w:spacing w:line="240" w:lineRule="auto"/>
              <w:jc w:val="center"/>
              <w:rPr>
                <w:sz w:val="22"/>
              </w:rPr>
            </w:pPr>
            <w:r w:rsidRPr="00C23FAE">
              <w:rPr>
                <w:sz w:val="22"/>
              </w:rPr>
              <w:t>132</w:t>
            </w:r>
          </w:p>
        </w:tc>
      </w:tr>
      <w:tr w:rsidR="00340842" w:rsidRPr="00C23FAE" w14:paraId="58F8C336" w14:textId="77777777" w:rsidTr="004E1326">
        <w:trPr>
          <w:jc w:val="center"/>
        </w:trPr>
        <w:tc>
          <w:tcPr>
            <w:tcW w:w="1696" w:type="dxa"/>
            <w:vAlign w:val="center"/>
          </w:tcPr>
          <w:p w14:paraId="316F05BD" w14:textId="77777777" w:rsidR="00340842" w:rsidRPr="00C23FAE" w:rsidRDefault="00340842" w:rsidP="00340842">
            <w:pPr>
              <w:spacing w:line="240" w:lineRule="auto"/>
              <w:jc w:val="center"/>
              <w:rPr>
                <w:sz w:val="22"/>
              </w:rPr>
            </w:pPr>
            <w:r w:rsidRPr="00C23FAE">
              <w:rPr>
                <w:sz w:val="22"/>
              </w:rPr>
              <w:t>A polarité positive</w:t>
            </w:r>
            <w:r w:rsidR="004E1326" w:rsidRPr="00C23FAE">
              <w:rPr>
                <w:sz w:val="22"/>
              </w:rPr>
              <w:t xml:space="preserve"> (+)</w:t>
            </w:r>
          </w:p>
        </w:tc>
        <w:tc>
          <w:tcPr>
            <w:tcW w:w="2127" w:type="dxa"/>
            <w:vAlign w:val="center"/>
          </w:tcPr>
          <w:p w14:paraId="0B3BEA9F" w14:textId="77777777" w:rsidR="00340842" w:rsidRPr="00C23FAE" w:rsidRDefault="00340842" w:rsidP="00340842">
            <w:pPr>
              <w:spacing w:line="240" w:lineRule="auto"/>
              <w:jc w:val="center"/>
              <w:rPr>
                <w:sz w:val="22"/>
              </w:rPr>
            </w:pPr>
            <w:r w:rsidRPr="00C23FAE">
              <w:rPr>
                <w:sz w:val="22"/>
              </w:rPr>
              <w:t>42</w:t>
            </w:r>
          </w:p>
        </w:tc>
        <w:tc>
          <w:tcPr>
            <w:tcW w:w="1842" w:type="dxa"/>
            <w:vAlign w:val="center"/>
          </w:tcPr>
          <w:p w14:paraId="14A489C4" w14:textId="77777777" w:rsidR="00340842" w:rsidRPr="00C23FAE" w:rsidRDefault="00340842" w:rsidP="00340842">
            <w:pPr>
              <w:spacing w:line="240" w:lineRule="auto"/>
              <w:jc w:val="center"/>
              <w:rPr>
                <w:sz w:val="22"/>
              </w:rPr>
            </w:pPr>
            <w:r w:rsidRPr="00C23FAE">
              <w:rPr>
                <w:sz w:val="22"/>
              </w:rPr>
              <w:t>41</w:t>
            </w:r>
          </w:p>
        </w:tc>
        <w:tc>
          <w:tcPr>
            <w:tcW w:w="1773" w:type="dxa"/>
            <w:vAlign w:val="center"/>
          </w:tcPr>
          <w:p w14:paraId="0745D9EE" w14:textId="77777777" w:rsidR="00340842" w:rsidRPr="00C23FAE" w:rsidRDefault="00340842" w:rsidP="00340842">
            <w:pPr>
              <w:spacing w:line="240" w:lineRule="auto"/>
              <w:jc w:val="center"/>
              <w:rPr>
                <w:sz w:val="22"/>
              </w:rPr>
            </w:pPr>
            <w:r w:rsidRPr="00C23FAE">
              <w:rPr>
                <w:sz w:val="22"/>
              </w:rPr>
              <w:t>25</w:t>
            </w:r>
          </w:p>
        </w:tc>
        <w:tc>
          <w:tcPr>
            <w:tcW w:w="1017" w:type="dxa"/>
            <w:vAlign w:val="center"/>
          </w:tcPr>
          <w:p w14:paraId="1DC63C01" w14:textId="77777777" w:rsidR="00340842" w:rsidRPr="00C23FAE" w:rsidRDefault="00340842" w:rsidP="00340842">
            <w:pPr>
              <w:spacing w:line="240" w:lineRule="auto"/>
              <w:jc w:val="center"/>
              <w:rPr>
                <w:sz w:val="22"/>
              </w:rPr>
            </w:pPr>
            <w:r w:rsidRPr="00C23FAE">
              <w:rPr>
                <w:sz w:val="22"/>
              </w:rPr>
              <w:t>108</w:t>
            </w:r>
          </w:p>
        </w:tc>
      </w:tr>
      <w:tr w:rsidR="00340842" w:rsidRPr="00C23FAE" w14:paraId="575326CA" w14:textId="77777777" w:rsidTr="004E1326">
        <w:trPr>
          <w:jc w:val="center"/>
        </w:trPr>
        <w:tc>
          <w:tcPr>
            <w:tcW w:w="1696" w:type="dxa"/>
            <w:vAlign w:val="center"/>
          </w:tcPr>
          <w:p w14:paraId="5A65C815" w14:textId="77777777" w:rsidR="00340842" w:rsidRPr="00C23FAE" w:rsidRDefault="00340842" w:rsidP="00340842">
            <w:pPr>
              <w:spacing w:line="240" w:lineRule="auto"/>
              <w:jc w:val="center"/>
              <w:rPr>
                <w:sz w:val="22"/>
              </w:rPr>
            </w:pPr>
            <w:r w:rsidRPr="00C23FAE">
              <w:rPr>
                <w:sz w:val="22"/>
              </w:rPr>
              <w:t>A polarité négative</w:t>
            </w:r>
            <w:r w:rsidR="004E1326" w:rsidRPr="00C23FAE">
              <w:rPr>
                <w:sz w:val="22"/>
              </w:rPr>
              <w:t xml:space="preserve"> (-)</w:t>
            </w:r>
          </w:p>
        </w:tc>
        <w:tc>
          <w:tcPr>
            <w:tcW w:w="2127" w:type="dxa"/>
            <w:vAlign w:val="center"/>
          </w:tcPr>
          <w:p w14:paraId="0DB9A2D3" w14:textId="77777777" w:rsidR="00340842" w:rsidRPr="00C23FAE" w:rsidRDefault="00340842" w:rsidP="00340842">
            <w:pPr>
              <w:spacing w:line="240" w:lineRule="auto"/>
              <w:jc w:val="center"/>
              <w:rPr>
                <w:sz w:val="22"/>
              </w:rPr>
            </w:pPr>
            <w:r w:rsidRPr="00C23FAE">
              <w:rPr>
                <w:sz w:val="22"/>
              </w:rPr>
              <w:t>6</w:t>
            </w:r>
          </w:p>
        </w:tc>
        <w:tc>
          <w:tcPr>
            <w:tcW w:w="1842" w:type="dxa"/>
            <w:vAlign w:val="center"/>
          </w:tcPr>
          <w:p w14:paraId="25A84049" w14:textId="77777777" w:rsidR="00340842" w:rsidRPr="00C23FAE" w:rsidRDefault="00340842" w:rsidP="00340842">
            <w:pPr>
              <w:spacing w:line="240" w:lineRule="auto"/>
              <w:jc w:val="center"/>
              <w:rPr>
                <w:sz w:val="22"/>
              </w:rPr>
            </w:pPr>
            <w:r w:rsidRPr="00C23FAE">
              <w:rPr>
                <w:sz w:val="22"/>
              </w:rPr>
              <w:t>7</w:t>
            </w:r>
          </w:p>
        </w:tc>
        <w:tc>
          <w:tcPr>
            <w:tcW w:w="1773" w:type="dxa"/>
            <w:vAlign w:val="center"/>
          </w:tcPr>
          <w:p w14:paraId="42B6FCDF" w14:textId="77777777" w:rsidR="00340842" w:rsidRPr="00C23FAE" w:rsidRDefault="00340842" w:rsidP="00340842">
            <w:pPr>
              <w:spacing w:line="240" w:lineRule="auto"/>
              <w:jc w:val="center"/>
              <w:rPr>
                <w:sz w:val="22"/>
              </w:rPr>
            </w:pPr>
            <w:r w:rsidRPr="00C23FAE">
              <w:rPr>
                <w:sz w:val="22"/>
              </w:rPr>
              <w:t>11</w:t>
            </w:r>
          </w:p>
        </w:tc>
        <w:tc>
          <w:tcPr>
            <w:tcW w:w="1017" w:type="dxa"/>
            <w:vAlign w:val="center"/>
          </w:tcPr>
          <w:p w14:paraId="010FD460" w14:textId="77777777" w:rsidR="00340842" w:rsidRPr="00C23FAE" w:rsidRDefault="00340842" w:rsidP="00340842">
            <w:pPr>
              <w:spacing w:line="240" w:lineRule="auto"/>
              <w:jc w:val="center"/>
              <w:rPr>
                <w:sz w:val="22"/>
              </w:rPr>
            </w:pPr>
            <w:r w:rsidRPr="00C23FAE">
              <w:rPr>
                <w:sz w:val="22"/>
              </w:rPr>
              <w:t>24</w:t>
            </w:r>
          </w:p>
        </w:tc>
      </w:tr>
      <w:tr w:rsidR="004E1326" w:rsidRPr="00C23FAE" w14:paraId="0C834801" w14:textId="77777777" w:rsidTr="004E1326">
        <w:trPr>
          <w:jc w:val="center"/>
        </w:trPr>
        <w:tc>
          <w:tcPr>
            <w:tcW w:w="1696" w:type="dxa"/>
            <w:vAlign w:val="center"/>
          </w:tcPr>
          <w:p w14:paraId="2C03EAE7" w14:textId="77777777" w:rsidR="004E1326" w:rsidRPr="00C23FAE" w:rsidRDefault="004E1326" w:rsidP="004E1326">
            <w:pPr>
              <w:spacing w:line="240" w:lineRule="auto"/>
              <w:jc w:val="center"/>
              <w:rPr>
                <w:sz w:val="22"/>
              </w:rPr>
            </w:pPr>
            <w:r w:rsidRPr="00C23FAE">
              <w:rPr>
                <w:sz w:val="22"/>
              </w:rPr>
              <w:t>Termes du noyau central</w:t>
            </w:r>
          </w:p>
        </w:tc>
        <w:tc>
          <w:tcPr>
            <w:tcW w:w="2127" w:type="dxa"/>
            <w:vAlign w:val="center"/>
          </w:tcPr>
          <w:p w14:paraId="2D5764DA" w14:textId="77777777" w:rsidR="004E1326" w:rsidRPr="00C23FAE" w:rsidRDefault="004E1326" w:rsidP="00340842">
            <w:pPr>
              <w:spacing w:line="240" w:lineRule="auto"/>
              <w:jc w:val="center"/>
              <w:rPr>
                <w:sz w:val="22"/>
              </w:rPr>
            </w:pPr>
            <w:r w:rsidRPr="00C23FAE">
              <w:rPr>
                <w:sz w:val="22"/>
              </w:rPr>
              <w:t>Confiance (+)</w:t>
            </w:r>
          </w:p>
          <w:p w14:paraId="0CC4DD3C" w14:textId="77777777" w:rsidR="004E1326" w:rsidRPr="00C23FAE" w:rsidRDefault="004E1326" w:rsidP="00340842">
            <w:pPr>
              <w:spacing w:line="240" w:lineRule="auto"/>
              <w:jc w:val="center"/>
              <w:rPr>
                <w:sz w:val="22"/>
              </w:rPr>
            </w:pPr>
            <w:r w:rsidRPr="00C23FAE">
              <w:rPr>
                <w:sz w:val="22"/>
              </w:rPr>
              <w:t>Mutualisation (+)</w:t>
            </w:r>
          </w:p>
          <w:p w14:paraId="7767F8B2" w14:textId="77777777" w:rsidR="004E1326" w:rsidRPr="00C23FAE" w:rsidRDefault="004E1326" w:rsidP="00340842">
            <w:pPr>
              <w:spacing w:line="240" w:lineRule="auto"/>
              <w:jc w:val="center"/>
              <w:rPr>
                <w:sz w:val="22"/>
              </w:rPr>
            </w:pPr>
            <w:r w:rsidRPr="00C23FAE">
              <w:rPr>
                <w:sz w:val="22"/>
              </w:rPr>
              <w:t>Intérêt (+)</w:t>
            </w:r>
          </w:p>
          <w:p w14:paraId="6ABCC3D1" w14:textId="77777777" w:rsidR="004E1326" w:rsidRPr="00C23FAE" w:rsidRDefault="004E1326" w:rsidP="00340842">
            <w:pPr>
              <w:spacing w:line="240" w:lineRule="auto"/>
              <w:jc w:val="center"/>
              <w:rPr>
                <w:sz w:val="22"/>
              </w:rPr>
            </w:pPr>
            <w:r w:rsidRPr="00C23FAE">
              <w:rPr>
                <w:sz w:val="22"/>
              </w:rPr>
              <w:t>Projet (+)</w:t>
            </w:r>
          </w:p>
          <w:p w14:paraId="66B10C34" w14:textId="77777777" w:rsidR="004E1326" w:rsidRPr="00C23FAE" w:rsidRDefault="004E1326" w:rsidP="00340842">
            <w:pPr>
              <w:spacing w:line="240" w:lineRule="auto"/>
              <w:jc w:val="center"/>
              <w:rPr>
                <w:sz w:val="22"/>
              </w:rPr>
            </w:pPr>
            <w:r w:rsidRPr="00C23FAE">
              <w:rPr>
                <w:sz w:val="22"/>
              </w:rPr>
              <w:t>Echange (+)</w:t>
            </w:r>
          </w:p>
        </w:tc>
        <w:tc>
          <w:tcPr>
            <w:tcW w:w="1842" w:type="dxa"/>
            <w:vAlign w:val="center"/>
          </w:tcPr>
          <w:p w14:paraId="312E1A95" w14:textId="77777777" w:rsidR="004E1326" w:rsidRPr="00C23FAE" w:rsidRDefault="004E1326" w:rsidP="00340842">
            <w:pPr>
              <w:spacing w:line="240" w:lineRule="auto"/>
              <w:jc w:val="center"/>
              <w:rPr>
                <w:sz w:val="22"/>
              </w:rPr>
            </w:pPr>
            <w:r w:rsidRPr="00C23FAE">
              <w:rPr>
                <w:sz w:val="22"/>
              </w:rPr>
              <w:t>Force (+)</w:t>
            </w:r>
          </w:p>
          <w:p w14:paraId="50BE8AFD" w14:textId="77777777" w:rsidR="004E1326" w:rsidRPr="00C23FAE" w:rsidRDefault="004E1326" w:rsidP="00340842">
            <w:pPr>
              <w:spacing w:line="240" w:lineRule="auto"/>
              <w:jc w:val="center"/>
              <w:rPr>
                <w:sz w:val="22"/>
              </w:rPr>
            </w:pPr>
            <w:r w:rsidRPr="00C23FAE">
              <w:rPr>
                <w:sz w:val="22"/>
              </w:rPr>
              <w:t>Entente (+)</w:t>
            </w:r>
          </w:p>
          <w:p w14:paraId="38E6E2FA" w14:textId="77777777" w:rsidR="004E1326" w:rsidRPr="00C23FAE" w:rsidRDefault="004E1326" w:rsidP="00340842">
            <w:pPr>
              <w:spacing w:line="240" w:lineRule="auto"/>
              <w:jc w:val="center"/>
              <w:rPr>
                <w:sz w:val="22"/>
              </w:rPr>
            </w:pPr>
            <w:r w:rsidRPr="00C23FAE">
              <w:rPr>
                <w:sz w:val="22"/>
              </w:rPr>
              <w:t>Mutualisation (+)</w:t>
            </w:r>
          </w:p>
          <w:p w14:paraId="0C9E6D36" w14:textId="77777777" w:rsidR="004E1326" w:rsidRPr="00C23FAE" w:rsidRDefault="004E1326" w:rsidP="00340842">
            <w:pPr>
              <w:spacing w:line="240" w:lineRule="auto"/>
              <w:jc w:val="center"/>
              <w:rPr>
                <w:sz w:val="22"/>
              </w:rPr>
            </w:pPr>
            <w:r w:rsidRPr="00C23FAE">
              <w:rPr>
                <w:sz w:val="22"/>
              </w:rPr>
              <w:t>Ouverture (+)</w:t>
            </w:r>
          </w:p>
          <w:p w14:paraId="34D062AC" w14:textId="77777777" w:rsidR="004E1326" w:rsidRPr="00C23FAE" w:rsidRDefault="004E1326" w:rsidP="00340842">
            <w:pPr>
              <w:spacing w:line="240" w:lineRule="auto"/>
              <w:jc w:val="center"/>
              <w:rPr>
                <w:sz w:val="22"/>
              </w:rPr>
            </w:pPr>
            <w:r w:rsidRPr="00C23FAE">
              <w:rPr>
                <w:sz w:val="22"/>
              </w:rPr>
              <w:t>Coopération (+)</w:t>
            </w:r>
          </w:p>
        </w:tc>
        <w:tc>
          <w:tcPr>
            <w:tcW w:w="1773" w:type="dxa"/>
            <w:vAlign w:val="center"/>
          </w:tcPr>
          <w:p w14:paraId="396620D9" w14:textId="77777777" w:rsidR="004E1326" w:rsidRPr="00C23FAE" w:rsidRDefault="004E1326" w:rsidP="00340842">
            <w:pPr>
              <w:spacing w:line="240" w:lineRule="auto"/>
              <w:jc w:val="center"/>
              <w:rPr>
                <w:sz w:val="22"/>
              </w:rPr>
            </w:pPr>
            <w:r w:rsidRPr="00C23FAE">
              <w:rPr>
                <w:sz w:val="22"/>
              </w:rPr>
              <w:t>Partage (+)</w:t>
            </w:r>
          </w:p>
          <w:p w14:paraId="1E06FFCC" w14:textId="77777777" w:rsidR="004E1326" w:rsidRPr="00C23FAE" w:rsidRDefault="004E1326" w:rsidP="00340842">
            <w:pPr>
              <w:spacing w:line="240" w:lineRule="auto"/>
              <w:jc w:val="center"/>
              <w:rPr>
                <w:sz w:val="22"/>
              </w:rPr>
            </w:pPr>
            <w:r w:rsidRPr="00C23FAE">
              <w:rPr>
                <w:sz w:val="22"/>
              </w:rPr>
              <w:t>Entraide (+)</w:t>
            </w:r>
          </w:p>
          <w:p w14:paraId="0D8FFC38" w14:textId="77777777" w:rsidR="004E1326" w:rsidRPr="00C23FAE" w:rsidRDefault="004E1326" w:rsidP="00340842">
            <w:pPr>
              <w:spacing w:line="240" w:lineRule="auto"/>
              <w:jc w:val="center"/>
              <w:rPr>
                <w:sz w:val="22"/>
              </w:rPr>
            </w:pPr>
            <w:r w:rsidRPr="00C23FAE">
              <w:rPr>
                <w:sz w:val="22"/>
              </w:rPr>
              <w:t>Construction (+)</w:t>
            </w:r>
          </w:p>
        </w:tc>
        <w:tc>
          <w:tcPr>
            <w:tcW w:w="1017" w:type="dxa"/>
            <w:vAlign w:val="center"/>
          </w:tcPr>
          <w:p w14:paraId="67CBB247" w14:textId="77777777" w:rsidR="004E1326" w:rsidRPr="00C23FAE" w:rsidRDefault="004E1326" w:rsidP="00340842">
            <w:pPr>
              <w:spacing w:line="240" w:lineRule="auto"/>
              <w:jc w:val="center"/>
              <w:rPr>
                <w:sz w:val="22"/>
              </w:rPr>
            </w:pPr>
          </w:p>
        </w:tc>
      </w:tr>
      <w:tr w:rsidR="004E1326" w:rsidRPr="00C23FAE" w14:paraId="2F826474" w14:textId="77777777" w:rsidTr="004E1326">
        <w:trPr>
          <w:jc w:val="center"/>
        </w:trPr>
        <w:tc>
          <w:tcPr>
            <w:tcW w:w="1696" w:type="dxa"/>
            <w:vAlign w:val="center"/>
          </w:tcPr>
          <w:p w14:paraId="236E0BA8" w14:textId="77777777" w:rsidR="004E1326" w:rsidRPr="00C23FAE" w:rsidRDefault="004E1326" w:rsidP="00340842">
            <w:pPr>
              <w:spacing w:line="240" w:lineRule="auto"/>
              <w:jc w:val="center"/>
              <w:rPr>
                <w:sz w:val="22"/>
              </w:rPr>
            </w:pPr>
            <w:r w:rsidRPr="00C23FAE">
              <w:rPr>
                <w:sz w:val="22"/>
              </w:rPr>
              <w:t>Termes de la 1</w:t>
            </w:r>
            <w:r w:rsidRPr="00C23FAE">
              <w:rPr>
                <w:sz w:val="22"/>
                <w:vertAlign w:val="superscript"/>
              </w:rPr>
              <w:t>ère</w:t>
            </w:r>
            <w:r w:rsidRPr="00C23FAE">
              <w:rPr>
                <w:sz w:val="22"/>
              </w:rPr>
              <w:t xml:space="preserve"> périphérie </w:t>
            </w:r>
          </w:p>
        </w:tc>
        <w:tc>
          <w:tcPr>
            <w:tcW w:w="2127" w:type="dxa"/>
            <w:vAlign w:val="center"/>
          </w:tcPr>
          <w:p w14:paraId="4FC1F5D6" w14:textId="77777777" w:rsidR="004E1326" w:rsidRPr="00C23FAE" w:rsidRDefault="004E1326" w:rsidP="00340842">
            <w:pPr>
              <w:spacing w:line="240" w:lineRule="auto"/>
              <w:jc w:val="center"/>
              <w:rPr>
                <w:sz w:val="22"/>
              </w:rPr>
            </w:pPr>
            <w:r w:rsidRPr="00C23FAE">
              <w:rPr>
                <w:sz w:val="22"/>
              </w:rPr>
              <w:t>Partage (+)</w:t>
            </w:r>
          </w:p>
          <w:p w14:paraId="5F00E95C" w14:textId="77777777" w:rsidR="004E1326" w:rsidRPr="00C23FAE" w:rsidRDefault="004E1326" w:rsidP="00340842">
            <w:pPr>
              <w:spacing w:line="240" w:lineRule="auto"/>
              <w:jc w:val="center"/>
              <w:rPr>
                <w:sz w:val="22"/>
              </w:rPr>
            </w:pPr>
            <w:r w:rsidRPr="00C23FAE">
              <w:rPr>
                <w:sz w:val="22"/>
              </w:rPr>
              <w:t>Coopération (+)</w:t>
            </w:r>
          </w:p>
          <w:p w14:paraId="4105475D" w14:textId="77777777" w:rsidR="004E1326" w:rsidRPr="00C23FAE" w:rsidRDefault="004E1326" w:rsidP="00340842">
            <w:pPr>
              <w:spacing w:line="240" w:lineRule="auto"/>
              <w:jc w:val="center"/>
              <w:rPr>
                <w:sz w:val="22"/>
              </w:rPr>
            </w:pPr>
            <w:r w:rsidRPr="00277E46">
              <w:rPr>
                <w:sz w:val="22"/>
              </w:rPr>
              <w:t>Autonomie (-)</w:t>
            </w:r>
          </w:p>
        </w:tc>
        <w:tc>
          <w:tcPr>
            <w:tcW w:w="1842" w:type="dxa"/>
            <w:vAlign w:val="center"/>
          </w:tcPr>
          <w:p w14:paraId="028F8591" w14:textId="77777777" w:rsidR="004E1326" w:rsidRPr="00C23FAE" w:rsidRDefault="004E1326" w:rsidP="00340842">
            <w:pPr>
              <w:spacing w:line="240" w:lineRule="auto"/>
              <w:jc w:val="center"/>
              <w:rPr>
                <w:sz w:val="22"/>
              </w:rPr>
            </w:pPr>
            <w:r w:rsidRPr="00C23FAE">
              <w:rPr>
                <w:sz w:val="22"/>
              </w:rPr>
              <w:t>Collaboration (+)</w:t>
            </w:r>
          </w:p>
          <w:p w14:paraId="5703C9CA" w14:textId="77777777" w:rsidR="004E1326" w:rsidRPr="00C23FAE" w:rsidRDefault="004E1326" w:rsidP="00340842">
            <w:pPr>
              <w:spacing w:line="240" w:lineRule="auto"/>
              <w:jc w:val="center"/>
              <w:rPr>
                <w:sz w:val="22"/>
              </w:rPr>
            </w:pPr>
            <w:r w:rsidRPr="00277E46">
              <w:rPr>
                <w:sz w:val="22"/>
              </w:rPr>
              <w:t>Finances (+/-)</w:t>
            </w:r>
          </w:p>
        </w:tc>
        <w:tc>
          <w:tcPr>
            <w:tcW w:w="1773" w:type="dxa"/>
            <w:vAlign w:val="center"/>
          </w:tcPr>
          <w:p w14:paraId="47613A7A" w14:textId="77777777" w:rsidR="004E1326" w:rsidRPr="00C23FAE" w:rsidRDefault="004E1326" w:rsidP="00340842">
            <w:pPr>
              <w:spacing w:line="240" w:lineRule="auto"/>
              <w:jc w:val="center"/>
              <w:rPr>
                <w:sz w:val="22"/>
              </w:rPr>
            </w:pPr>
            <w:r w:rsidRPr="00C23FAE">
              <w:rPr>
                <w:sz w:val="22"/>
              </w:rPr>
              <w:t>Non significatif</w:t>
            </w:r>
          </w:p>
        </w:tc>
        <w:tc>
          <w:tcPr>
            <w:tcW w:w="1017" w:type="dxa"/>
            <w:vAlign w:val="center"/>
          </w:tcPr>
          <w:p w14:paraId="780D40F8" w14:textId="77777777" w:rsidR="004E1326" w:rsidRPr="00C23FAE" w:rsidRDefault="004E1326" w:rsidP="00340842">
            <w:pPr>
              <w:spacing w:line="240" w:lineRule="auto"/>
              <w:jc w:val="center"/>
              <w:rPr>
                <w:sz w:val="22"/>
              </w:rPr>
            </w:pPr>
          </w:p>
        </w:tc>
      </w:tr>
    </w:tbl>
    <w:p w14:paraId="38548172" w14:textId="77777777" w:rsidR="00FA0569" w:rsidRDefault="00FA0569" w:rsidP="00FA0569"/>
    <w:p w14:paraId="406EA929" w14:textId="77777777" w:rsidR="00A97043" w:rsidRDefault="00A97043" w:rsidP="00A97043">
      <w:r>
        <w:t xml:space="preserve">Chez </w:t>
      </w:r>
      <w:proofErr w:type="spellStart"/>
      <w:r>
        <w:t>Ostéobio</w:t>
      </w:r>
      <w:proofErr w:type="spellEnd"/>
      <w:r>
        <w:t>, tous les éléments forts de la représentation sociale de l’objet alliance sont positifs. C’est une représentation très positive et stable. Elle se structure autour d’une dynamique de force au service d’une « entente », « mutualisation », « coopération » accompagnée « d’ouverture », que l’on peut supposer être tournée vers les autres membres d</w:t>
      </w:r>
      <w:r w:rsidR="00C23FAE">
        <w:t>’</w:t>
      </w:r>
      <w:proofErr w:type="spellStart"/>
      <w:r>
        <w:t>Alli</w:t>
      </w:r>
      <w:r w:rsidR="00C23FAE">
        <w:t>os</w:t>
      </w:r>
      <w:proofErr w:type="spellEnd"/>
      <w:r>
        <w:t xml:space="preserve">. </w:t>
      </w:r>
    </w:p>
    <w:p w14:paraId="705C5C2A" w14:textId="77777777" w:rsidR="00A97043" w:rsidRDefault="00A97043" w:rsidP="00A97043">
      <w:r>
        <w:t>Pour l’IFSO Vichy également, c’est une représentation très positive et stable, en l’absence d’éléments négatifs dans</w:t>
      </w:r>
      <w:r w:rsidR="00F93181">
        <w:t xml:space="preserve"> le noyau central et</w:t>
      </w:r>
      <w:r>
        <w:t xml:space="preserve"> la </w:t>
      </w:r>
      <w:r w:rsidR="00F93181">
        <w:t>première</w:t>
      </w:r>
      <w:r>
        <w:t xml:space="preserve"> périphérie. Elle se structure autour d’une valeur de « partage » au service de « l’aide/entraide » à la « construction » du projet de l’alliance. </w:t>
      </w:r>
    </w:p>
    <w:p w14:paraId="2248A208" w14:textId="77777777" w:rsidR="00A97043" w:rsidRDefault="00A97043" w:rsidP="00A97043">
      <w:r>
        <w:t>Nous constatons donc une positivité et une stabilité du noyau central communs aux trois instituts.</w:t>
      </w:r>
    </w:p>
    <w:p w14:paraId="6CC149A9" w14:textId="0D4D8370" w:rsidR="00FA0569" w:rsidRDefault="00D9038A" w:rsidP="00D26FB9">
      <w:pPr>
        <w:pStyle w:val="Titre2"/>
      </w:pPr>
      <w:bookmarkStart w:id="11" w:name="_Toc41940541"/>
      <w:r>
        <w:t>A</w:t>
      </w:r>
      <w:r w:rsidR="00FA0569">
        <w:t>nalyse catégorielle</w:t>
      </w:r>
      <w:bookmarkEnd w:id="11"/>
    </w:p>
    <w:p w14:paraId="7A0FA836" w14:textId="6D3946D8" w:rsidR="009A4342" w:rsidRDefault="00D26FB9" w:rsidP="009A4342">
      <w:r>
        <w:t>Les données brutes fournies autour du mot inducteur « alliance » lors de l’analyse sémantique précédente ont ensuite été catégorisées en : éléments programmatiques (liés à la mise en œuvre pratique du projet) ; relation</w:t>
      </w:r>
      <w:r w:rsidR="00DF09AD">
        <w:t>s</w:t>
      </w:r>
      <w:r w:rsidR="00277E46">
        <w:t xml:space="preserve"> humaines ; valeurs ; qualité (c</w:t>
      </w:r>
      <w:r w:rsidR="00DF09AD">
        <w:t xml:space="preserve">f. </w:t>
      </w:r>
      <w:r>
        <w:t xml:space="preserve">Tableau </w:t>
      </w:r>
      <w:r w:rsidR="002621DB">
        <w:t>4</w:t>
      </w:r>
      <w:r w:rsidR="00DF09AD">
        <w:t>)</w:t>
      </w:r>
      <w:r>
        <w:t>.</w:t>
      </w:r>
      <w:r w:rsidR="009A4342">
        <w:t xml:space="preserve"> L’analyse catégorielle vient renforcer les premiers éléments mis au jour par l’analyse prototypique. Nous retrouvons ainsi la confirmation d’une organisation bipolaire de la représentation sociale essentiellement autour des sujets programmatiques et, dans une moindre mesure, des valeurs partagées. En effet, la totalité des éléments négatifs apparaissent dans la thématique « éléments programmatiques ». </w:t>
      </w:r>
    </w:p>
    <w:p w14:paraId="0897655B" w14:textId="77777777" w:rsidR="00277E46" w:rsidRDefault="00277E46">
      <w:pPr>
        <w:spacing w:after="160" w:line="259" w:lineRule="auto"/>
        <w:jc w:val="left"/>
        <w:rPr>
          <w:b/>
        </w:rPr>
      </w:pPr>
      <w:r>
        <w:rPr>
          <w:b/>
        </w:rPr>
        <w:br w:type="page"/>
      </w:r>
    </w:p>
    <w:p w14:paraId="27C8D365" w14:textId="4D4FC723" w:rsidR="00FA0569" w:rsidRDefault="00F14344" w:rsidP="00F14344">
      <w:pPr>
        <w:jc w:val="center"/>
      </w:pPr>
      <w:r w:rsidRPr="00F14344">
        <w:rPr>
          <w:b/>
        </w:rPr>
        <w:lastRenderedPageBreak/>
        <w:t xml:space="preserve">Tableau </w:t>
      </w:r>
      <w:r w:rsidR="002621DB">
        <w:rPr>
          <w:b/>
        </w:rPr>
        <w:t>4</w:t>
      </w:r>
      <w:r>
        <w:t xml:space="preserve"> – Synthèse de l’analyse catégorielle des trois instituts</w:t>
      </w:r>
    </w:p>
    <w:tbl>
      <w:tblPr>
        <w:tblStyle w:val="Grilledutableau"/>
        <w:tblW w:w="0" w:type="auto"/>
        <w:tblLook w:val="04A0" w:firstRow="1" w:lastRow="0" w:firstColumn="1" w:lastColumn="0" w:noHBand="0" w:noVBand="1"/>
      </w:tblPr>
      <w:tblGrid>
        <w:gridCol w:w="1242"/>
        <w:gridCol w:w="2155"/>
        <w:gridCol w:w="1985"/>
        <w:gridCol w:w="1701"/>
        <w:gridCol w:w="1979"/>
      </w:tblGrid>
      <w:tr w:rsidR="00277E46" w:rsidRPr="00277E46" w14:paraId="7F6EC3BC" w14:textId="77777777" w:rsidTr="00983721">
        <w:tc>
          <w:tcPr>
            <w:tcW w:w="1242" w:type="dxa"/>
            <w:vAlign w:val="center"/>
          </w:tcPr>
          <w:p w14:paraId="5E62846F" w14:textId="77777777" w:rsidR="00FA0569" w:rsidRPr="00277E46" w:rsidRDefault="00FA0569" w:rsidP="00983721">
            <w:pPr>
              <w:spacing w:line="240" w:lineRule="auto"/>
              <w:jc w:val="center"/>
              <w:rPr>
                <w:sz w:val="22"/>
              </w:rPr>
            </w:pPr>
          </w:p>
        </w:tc>
        <w:tc>
          <w:tcPr>
            <w:tcW w:w="2155" w:type="dxa"/>
            <w:vAlign w:val="center"/>
          </w:tcPr>
          <w:p w14:paraId="047F7FC1" w14:textId="77777777" w:rsidR="00FA0569" w:rsidRPr="00277E46" w:rsidRDefault="000632A2" w:rsidP="00983721">
            <w:pPr>
              <w:spacing w:line="240" w:lineRule="auto"/>
              <w:jc w:val="center"/>
              <w:rPr>
                <w:sz w:val="22"/>
              </w:rPr>
            </w:pPr>
            <w:r w:rsidRPr="00277E46">
              <w:rPr>
                <w:sz w:val="22"/>
              </w:rPr>
              <w:t>E</w:t>
            </w:r>
            <w:r w:rsidR="00FA0569" w:rsidRPr="00277E46">
              <w:rPr>
                <w:sz w:val="22"/>
              </w:rPr>
              <w:t>léments</w:t>
            </w:r>
            <w:r w:rsidRPr="00277E46">
              <w:rPr>
                <w:sz w:val="22"/>
              </w:rPr>
              <w:t xml:space="preserve"> </w:t>
            </w:r>
            <w:r w:rsidR="00FA0569" w:rsidRPr="00277E46">
              <w:rPr>
                <w:sz w:val="22"/>
              </w:rPr>
              <w:t xml:space="preserve"> </w:t>
            </w:r>
            <w:r w:rsidRPr="00277E46">
              <w:rPr>
                <w:sz w:val="22"/>
              </w:rPr>
              <w:t xml:space="preserve"> </w:t>
            </w:r>
            <w:r w:rsidR="00FA0569" w:rsidRPr="00277E46">
              <w:rPr>
                <w:sz w:val="22"/>
              </w:rPr>
              <w:t>programmatiques</w:t>
            </w:r>
          </w:p>
        </w:tc>
        <w:tc>
          <w:tcPr>
            <w:tcW w:w="1985" w:type="dxa"/>
            <w:vAlign w:val="center"/>
          </w:tcPr>
          <w:p w14:paraId="2A54B208" w14:textId="77777777" w:rsidR="00FA0569" w:rsidRPr="00277E46" w:rsidRDefault="000632A2" w:rsidP="00983721">
            <w:pPr>
              <w:spacing w:line="240" w:lineRule="auto"/>
              <w:jc w:val="center"/>
              <w:rPr>
                <w:sz w:val="22"/>
              </w:rPr>
            </w:pPr>
            <w:r w:rsidRPr="00277E46">
              <w:rPr>
                <w:sz w:val="22"/>
              </w:rPr>
              <w:t>R</w:t>
            </w:r>
            <w:r w:rsidR="00FA0569" w:rsidRPr="00277E46">
              <w:rPr>
                <w:sz w:val="22"/>
              </w:rPr>
              <w:t>elations humaines</w:t>
            </w:r>
          </w:p>
        </w:tc>
        <w:tc>
          <w:tcPr>
            <w:tcW w:w="1701" w:type="dxa"/>
            <w:vAlign w:val="center"/>
          </w:tcPr>
          <w:p w14:paraId="0E3EA91D" w14:textId="77777777" w:rsidR="00FA0569" w:rsidRPr="00277E46" w:rsidRDefault="000632A2" w:rsidP="00983721">
            <w:pPr>
              <w:spacing w:line="240" w:lineRule="auto"/>
              <w:jc w:val="center"/>
              <w:rPr>
                <w:sz w:val="22"/>
              </w:rPr>
            </w:pPr>
            <w:r w:rsidRPr="00277E46">
              <w:rPr>
                <w:sz w:val="22"/>
              </w:rPr>
              <w:t>V</w:t>
            </w:r>
            <w:r w:rsidR="00FA0569" w:rsidRPr="00277E46">
              <w:rPr>
                <w:sz w:val="22"/>
              </w:rPr>
              <w:t>aleurs</w:t>
            </w:r>
          </w:p>
        </w:tc>
        <w:tc>
          <w:tcPr>
            <w:tcW w:w="1979" w:type="dxa"/>
            <w:vAlign w:val="center"/>
          </w:tcPr>
          <w:p w14:paraId="14EA6699" w14:textId="77777777" w:rsidR="00FA0569" w:rsidRPr="00277E46" w:rsidRDefault="000632A2" w:rsidP="00983721">
            <w:pPr>
              <w:spacing w:line="240" w:lineRule="auto"/>
              <w:jc w:val="center"/>
              <w:rPr>
                <w:sz w:val="22"/>
              </w:rPr>
            </w:pPr>
            <w:r w:rsidRPr="00277E46">
              <w:rPr>
                <w:sz w:val="22"/>
              </w:rPr>
              <w:t>Q</w:t>
            </w:r>
            <w:r w:rsidR="00FA0569" w:rsidRPr="00277E46">
              <w:rPr>
                <w:sz w:val="22"/>
              </w:rPr>
              <w:t>ualité</w:t>
            </w:r>
          </w:p>
        </w:tc>
      </w:tr>
      <w:tr w:rsidR="00277E46" w:rsidRPr="00277E46" w14:paraId="66153C9F" w14:textId="77777777" w:rsidTr="000632A2">
        <w:tc>
          <w:tcPr>
            <w:tcW w:w="9062" w:type="dxa"/>
            <w:gridSpan w:val="5"/>
            <w:shd w:val="clear" w:color="auto" w:fill="BFBFBF" w:themeFill="background1" w:themeFillShade="BF"/>
          </w:tcPr>
          <w:p w14:paraId="5758006D" w14:textId="77777777" w:rsidR="000632A2" w:rsidRPr="00277E46" w:rsidRDefault="000632A2" w:rsidP="000632A2">
            <w:pPr>
              <w:spacing w:line="240" w:lineRule="auto"/>
              <w:jc w:val="center"/>
              <w:rPr>
                <w:sz w:val="22"/>
              </w:rPr>
            </w:pPr>
            <w:r w:rsidRPr="00277E46">
              <w:rPr>
                <w:sz w:val="22"/>
              </w:rPr>
              <w:t>IFSO Rennes</w:t>
            </w:r>
          </w:p>
        </w:tc>
      </w:tr>
      <w:tr w:rsidR="00277E46" w:rsidRPr="00277E46" w14:paraId="5DBA8A7B" w14:textId="77777777" w:rsidTr="00983721">
        <w:trPr>
          <w:trHeight w:val="841"/>
        </w:trPr>
        <w:tc>
          <w:tcPr>
            <w:tcW w:w="1242" w:type="dxa"/>
            <w:vAlign w:val="center"/>
          </w:tcPr>
          <w:p w14:paraId="57C39699" w14:textId="4DF0305C" w:rsidR="00FA0569" w:rsidRPr="00277E46" w:rsidRDefault="000632A2" w:rsidP="00DF09AD">
            <w:pPr>
              <w:tabs>
                <w:tab w:val="center" w:pos="1520"/>
              </w:tabs>
              <w:spacing w:line="240" w:lineRule="auto"/>
              <w:jc w:val="left"/>
              <w:rPr>
                <w:sz w:val="22"/>
              </w:rPr>
            </w:pPr>
            <w:r w:rsidRPr="00277E46">
              <w:rPr>
                <w:sz w:val="22"/>
              </w:rPr>
              <w:t xml:space="preserve">Mots </w:t>
            </w:r>
            <w:r w:rsidR="00DF09AD" w:rsidRPr="00277E46">
              <w:rPr>
                <w:sz w:val="22"/>
              </w:rPr>
              <w:t>collectés</w:t>
            </w:r>
          </w:p>
        </w:tc>
        <w:tc>
          <w:tcPr>
            <w:tcW w:w="2155" w:type="dxa"/>
          </w:tcPr>
          <w:p w14:paraId="05754892" w14:textId="77777777" w:rsidR="000A1958" w:rsidRPr="00277E46" w:rsidRDefault="00FA0569" w:rsidP="00FF131D">
            <w:pPr>
              <w:tabs>
                <w:tab w:val="center" w:pos="1520"/>
              </w:tabs>
              <w:spacing w:line="240" w:lineRule="auto"/>
              <w:jc w:val="left"/>
              <w:rPr>
                <w:sz w:val="22"/>
              </w:rPr>
            </w:pPr>
            <w:r w:rsidRPr="00277E46">
              <w:rPr>
                <w:sz w:val="22"/>
              </w:rPr>
              <w:t>Projet (+)</w:t>
            </w:r>
            <w:r w:rsidR="000632A2" w:rsidRPr="00277E46">
              <w:rPr>
                <w:sz w:val="22"/>
              </w:rPr>
              <w:t xml:space="preserve"> </w:t>
            </w:r>
            <w:r w:rsidR="000A1958" w:rsidRPr="00277E46">
              <w:rPr>
                <w:sz w:val="22"/>
              </w:rPr>
              <w:t>x2</w:t>
            </w:r>
          </w:p>
          <w:p w14:paraId="7F6DCC79" w14:textId="77777777" w:rsidR="000632A2" w:rsidRPr="00277E46" w:rsidRDefault="00FA0569" w:rsidP="00FF131D">
            <w:pPr>
              <w:tabs>
                <w:tab w:val="center" w:pos="1520"/>
              </w:tabs>
              <w:spacing w:line="240" w:lineRule="auto"/>
              <w:jc w:val="left"/>
              <w:rPr>
                <w:sz w:val="22"/>
              </w:rPr>
            </w:pPr>
            <w:r w:rsidRPr="00277E46">
              <w:rPr>
                <w:sz w:val="22"/>
              </w:rPr>
              <w:t xml:space="preserve">Optimisation (+) Opportunité (+) Contribution (+) Partenariat (+) </w:t>
            </w:r>
          </w:p>
          <w:p w14:paraId="324A2A14" w14:textId="77777777" w:rsidR="000632A2" w:rsidRPr="00277E46" w:rsidRDefault="00FA0569" w:rsidP="00FF131D">
            <w:pPr>
              <w:tabs>
                <w:tab w:val="center" w:pos="1520"/>
              </w:tabs>
              <w:spacing w:line="240" w:lineRule="auto"/>
              <w:jc w:val="left"/>
              <w:rPr>
                <w:sz w:val="22"/>
              </w:rPr>
            </w:pPr>
            <w:r w:rsidRPr="00277E46">
              <w:rPr>
                <w:sz w:val="22"/>
              </w:rPr>
              <w:t xml:space="preserve">Accord (+) </w:t>
            </w:r>
          </w:p>
          <w:p w14:paraId="623D1F4D" w14:textId="77777777" w:rsidR="000632A2" w:rsidRPr="00277E46" w:rsidRDefault="00FA0569" w:rsidP="00FF131D">
            <w:pPr>
              <w:tabs>
                <w:tab w:val="center" w:pos="1520"/>
              </w:tabs>
              <w:spacing w:line="240" w:lineRule="auto"/>
              <w:jc w:val="left"/>
              <w:rPr>
                <w:sz w:val="22"/>
              </w:rPr>
            </w:pPr>
            <w:r w:rsidRPr="00277E46">
              <w:rPr>
                <w:sz w:val="22"/>
              </w:rPr>
              <w:t xml:space="preserve">Intérêt (+) </w:t>
            </w:r>
          </w:p>
          <w:p w14:paraId="5DE6A53D" w14:textId="77777777" w:rsidR="000632A2" w:rsidRPr="00277E46" w:rsidRDefault="00FA0569" w:rsidP="00FF131D">
            <w:pPr>
              <w:tabs>
                <w:tab w:val="center" w:pos="1520"/>
              </w:tabs>
              <w:spacing w:line="240" w:lineRule="auto"/>
              <w:jc w:val="left"/>
              <w:rPr>
                <w:sz w:val="22"/>
              </w:rPr>
            </w:pPr>
            <w:r w:rsidRPr="00277E46">
              <w:rPr>
                <w:sz w:val="22"/>
              </w:rPr>
              <w:t xml:space="preserve">Coordination (+) </w:t>
            </w:r>
          </w:p>
          <w:p w14:paraId="745DEDF3" w14:textId="77777777" w:rsidR="000632A2" w:rsidRPr="00277E46" w:rsidRDefault="00FA0569" w:rsidP="00FF131D">
            <w:pPr>
              <w:tabs>
                <w:tab w:val="center" w:pos="1520"/>
              </w:tabs>
              <w:spacing w:line="240" w:lineRule="auto"/>
              <w:jc w:val="left"/>
              <w:rPr>
                <w:sz w:val="22"/>
              </w:rPr>
            </w:pPr>
            <w:r w:rsidRPr="00277E46">
              <w:rPr>
                <w:sz w:val="22"/>
              </w:rPr>
              <w:t xml:space="preserve">Contrat (-) </w:t>
            </w:r>
          </w:p>
          <w:p w14:paraId="527E667B" w14:textId="77777777" w:rsidR="000632A2" w:rsidRPr="00277E46" w:rsidRDefault="00FA0569" w:rsidP="00FF131D">
            <w:pPr>
              <w:tabs>
                <w:tab w:val="center" w:pos="1520"/>
              </w:tabs>
              <w:spacing w:line="240" w:lineRule="auto"/>
              <w:jc w:val="left"/>
              <w:rPr>
                <w:sz w:val="22"/>
              </w:rPr>
            </w:pPr>
            <w:r w:rsidRPr="00277E46">
              <w:rPr>
                <w:sz w:val="22"/>
              </w:rPr>
              <w:t xml:space="preserve">Désaccord (-) </w:t>
            </w:r>
          </w:p>
          <w:p w14:paraId="562E6967" w14:textId="77777777" w:rsidR="000632A2" w:rsidRPr="00277E46" w:rsidRDefault="00FA0569" w:rsidP="00FF131D">
            <w:pPr>
              <w:tabs>
                <w:tab w:val="center" w:pos="1520"/>
              </w:tabs>
              <w:spacing w:line="240" w:lineRule="auto"/>
              <w:jc w:val="left"/>
              <w:rPr>
                <w:sz w:val="22"/>
              </w:rPr>
            </w:pPr>
            <w:r w:rsidRPr="00277E46">
              <w:rPr>
                <w:sz w:val="22"/>
              </w:rPr>
              <w:t xml:space="preserve">Séparation (-) </w:t>
            </w:r>
          </w:p>
          <w:p w14:paraId="4D8E83C3" w14:textId="77777777" w:rsidR="000632A2" w:rsidRPr="00277E46" w:rsidRDefault="00FA0569" w:rsidP="00FF131D">
            <w:pPr>
              <w:tabs>
                <w:tab w:val="center" w:pos="1520"/>
              </w:tabs>
              <w:spacing w:line="240" w:lineRule="auto"/>
              <w:jc w:val="left"/>
              <w:rPr>
                <w:sz w:val="22"/>
              </w:rPr>
            </w:pPr>
            <w:r w:rsidRPr="00277E46">
              <w:rPr>
                <w:sz w:val="22"/>
              </w:rPr>
              <w:t xml:space="preserve">Intérêt (+) </w:t>
            </w:r>
          </w:p>
          <w:p w14:paraId="6F61A688" w14:textId="77777777" w:rsidR="000632A2" w:rsidRPr="00277E46" w:rsidRDefault="00FA0569" w:rsidP="00FF131D">
            <w:pPr>
              <w:tabs>
                <w:tab w:val="center" w:pos="1520"/>
              </w:tabs>
              <w:spacing w:line="240" w:lineRule="auto"/>
              <w:jc w:val="left"/>
              <w:rPr>
                <w:sz w:val="22"/>
              </w:rPr>
            </w:pPr>
            <w:r w:rsidRPr="00277E46">
              <w:rPr>
                <w:sz w:val="22"/>
              </w:rPr>
              <w:t xml:space="preserve">Avenir (+) </w:t>
            </w:r>
          </w:p>
          <w:p w14:paraId="103E8F51" w14:textId="77777777" w:rsidR="000632A2" w:rsidRPr="00277E46" w:rsidRDefault="00FA0569" w:rsidP="00FF131D">
            <w:pPr>
              <w:tabs>
                <w:tab w:val="center" w:pos="1520"/>
              </w:tabs>
              <w:spacing w:line="240" w:lineRule="auto"/>
              <w:jc w:val="left"/>
              <w:rPr>
                <w:sz w:val="22"/>
              </w:rPr>
            </w:pPr>
            <w:r w:rsidRPr="00277E46">
              <w:rPr>
                <w:sz w:val="22"/>
              </w:rPr>
              <w:t xml:space="preserve">Temps (-) </w:t>
            </w:r>
          </w:p>
          <w:p w14:paraId="4B0CDD15" w14:textId="77777777" w:rsidR="000A1958" w:rsidRPr="00277E46" w:rsidRDefault="000A1958" w:rsidP="00FF131D">
            <w:pPr>
              <w:tabs>
                <w:tab w:val="center" w:pos="1520"/>
              </w:tabs>
              <w:spacing w:line="240" w:lineRule="auto"/>
              <w:jc w:val="left"/>
              <w:rPr>
                <w:sz w:val="22"/>
              </w:rPr>
            </w:pPr>
            <w:r w:rsidRPr="00277E46">
              <w:rPr>
                <w:sz w:val="22"/>
              </w:rPr>
              <w:t>Autonomie (-) x2</w:t>
            </w:r>
          </w:p>
          <w:p w14:paraId="478A537B" w14:textId="77777777" w:rsidR="00FF131D" w:rsidRPr="00277E46" w:rsidRDefault="000A1958" w:rsidP="00FF131D">
            <w:pPr>
              <w:tabs>
                <w:tab w:val="center" w:pos="1520"/>
              </w:tabs>
              <w:spacing w:line="240" w:lineRule="auto"/>
              <w:jc w:val="left"/>
              <w:rPr>
                <w:sz w:val="22"/>
              </w:rPr>
            </w:pPr>
            <w:r w:rsidRPr="00277E46">
              <w:rPr>
                <w:sz w:val="22"/>
              </w:rPr>
              <w:t>Mutualisation (+) x2</w:t>
            </w:r>
          </w:p>
          <w:p w14:paraId="20B18242" w14:textId="77777777" w:rsidR="00FA0569" w:rsidRPr="00277E46" w:rsidRDefault="00FA0569" w:rsidP="00FF131D">
            <w:pPr>
              <w:tabs>
                <w:tab w:val="center" w:pos="1520"/>
              </w:tabs>
              <w:spacing w:line="240" w:lineRule="auto"/>
              <w:jc w:val="left"/>
              <w:rPr>
                <w:sz w:val="22"/>
              </w:rPr>
            </w:pPr>
            <w:r w:rsidRPr="00277E46">
              <w:rPr>
                <w:sz w:val="22"/>
              </w:rPr>
              <w:t>Coût (+)</w:t>
            </w:r>
          </w:p>
        </w:tc>
        <w:tc>
          <w:tcPr>
            <w:tcW w:w="1985" w:type="dxa"/>
          </w:tcPr>
          <w:p w14:paraId="54DED905" w14:textId="77777777" w:rsidR="00FA0569" w:rsidRPr="00277E46" w:rsidRDefault="00FA0569" w:rsidP="00FF131D">
            <w:pPr>
              <w:spacing w:line="240" w:lineRule="auto"/>
              <w:jc w:val="left"/>
              <w:rPr>
                <w:sz w:val="22"/>
              </w:rPr>
            </w:pPr>
            <w:r w:rsidRPr="00277E46">
              <w:rPr>
                <w:sz w:val="22"/>
              </w:rPr>
              <w:t>Rencontre (+)</w:t>
            </w:r>
          </w:p>
          <w:p w14:paraId="043873C1" w14:textId="77777777" w:rsidR="00FA0569" w:rsidRPr="00277E46" w:rsidRDefault="00FA0569" w:rsidP="00FF131D">
            <w:pPr>
              <w:spacing w:line="240" w:lineRule="auto"/>
              <w:jc w:val="left"/>
              <w:rPr>
                <w:sz w:val="22"/>
              </w:rPr>
            </w:pPr>
            <w:r w:rsidRPr="00277E46">
              <w:rPr>
                <w:sz w:val="22"/>
              </w:rPr>
              <w:t>Relation (+)</w:t>
            </w:r>
          </w:p>
          <w:p w14:paraId="04BD6BEA" w14:textId="77777777" w:rsidR="00FA0569" w:rsidRPr="00277E46" w:rsidRDefault="00FA0569" w:rsidP="00FF131D">
            <w:pPr>
              <w:spacing w:line="240" w:lineRule="auto"/>
              <w:jc w:val="left"/>
              <w:rPr>
                <w:sz w:val="22"/>
              </w:rPr>
            </w:pPr>
            <w:r w:rsidRPr="00277E46">
              <w:rPr>
                <w:sz w:val="22"/>
              </w:rPr>
              <w:t>Communication (+)</w:t>
            </w:r>
          </w:p>
          <w:p w14:paraId="71E19758" w14:textId="77777777" w:rsidR="00FA0569" w:rsidRPr="00277E46" w:rsidRDefault="00FA0569" w:rsidP="00FF131D">
            <w:pPr>
              <w:spacing w:line="240" w:lineRule="auto"/>
              <w:jc w:val="left"/>
              <w:rPr>
                <w:sz w:val="22"/>
              </w:rPr>
            </w:pPr>
            <w:r w:rsidRPr="00277E46">
              <w:rPr>
                <w:sz w:val="22"/>
              </w:rPr>
              <w:t>Échange (+)</w:t>
            </w:r>
          </w:p>
          <w:p w14:paraId="7677F2AB" w14:textId="77777777" w:rsidR="00FA0569" w:rsidRPr="00277E46" w:rsidRDefault="00FA0569" w:rsidP="00FF131D">
            <w:pPr>
              <w:spacing w:line="240" w:lineRule="auto"/>
              <w:jc w:val="left"/>
              <w:rPr>
                <w:sz w:val="22"/>
              </w:rPr>
            </w:pPr>
            <w:r w:rsidRPr="00277E46">
              <w:rPr>
                <w:sz w:val="22"/>
              </w:rPr>
              <w:t>Collaboration (+)</w:t>
            </w:r>
          </w:p>
          <w:p w14:paraId="72A572F1" w14:textId="77777777" w:rsidR="00FA0569" w:rsidRPr="00277E46" w:rsidRDefault="00FA0569" w:rsidP="00FF131D">
            <w:pPr>
              <w:spacing w:line="240" w:lineRule="auto"/>
              <w:jc w:val="left"/>
              <w:rPr>
                <w:sz w:val="22"/>
              </w:rPr>
            </w:pPr>
            <w:r w:rsidRPr="00277E46">
              <w:rPr>
                <w:sz w:val="22"/>
              </w:rPr>
              <w:t>Coopération (+)</w:t>
            </w:r>
            <w:r w:rsidR="00FF131D" w:rsidRPr="00277E46">
              <w:rPr>
                <w:sz w:val="22"/>
              </w:rPr>
              <w:t xml:space="preserve"> </w:t>
            </w:r>
            <w:r w:rsidR="000A1958" w:rsidRPr="00277E46">
              <w:rPr>
                <w:sz w:val="22"/>
              </w:rPr>
              <w:t>x2</w:t>
            </w:r>
          </w:p>
          <w:p w14:paraId="50378C40" w14:textId="77777777" w:rsidR="00FA0569" w:rsidRPr="00277E46" w:rsidRDefault="00FA0569" w:rsidP="00FF131D">
            <w:pPr>
              <w:spacing w:line="240" w:lineRule="auto"/>
              <w:jc w:val="left"/>
              <w:rPr>
                <w:sz w:val="22"/>
              </w:rPr>
            </w:pPr>
            <w:r w:rsidRPr="00277E46">
              <w:rPr>
                <w:sz w:val="22"/>
              </w:rPr>
              <w:t>Accompagnement (+)</w:t>
            </w:r>
          </w:p>
          <w:p w14:paraId="7E0C4119" w14:textId="77777777" w:rsidR="00FA0569" w:rsidRPr="00277E46" w:rsidRDefault="00FA0569" w:rsidP="00FF131D">
            <w:pPr>
              <w:spacing w:line="240" w:lineRule="auto"/>
              <w:jc w:val="left"/>
              <w:rPr>
                <w:sz w:val="22"/>
              </w:rPr>
            </w:pPr>
            <w:r w:rsidRPr="00277E46">
              <w:rPr>
                <w:sz w:val="22"/>
              </w:rPr>
              <w:t xml:space="preserve">Amitié (+) </w:t>
            </w:r>
          </w:p>
          <w:p w14:paraId="372A51B8" w14:textId="77777777" w:rsidR="00FA0569" w:rsidRPr="00277E46" w:rsidRDefault="00FA0569" w:rsidP="00FF131D">
            <w:pPr>
              <w:spacing w:line="240" w:lineRule="auto"/>
              <w:jc w:val="left"/>
              <w:rPr>
                <w:sz w:val="22"/>
              </w:rPr>
            </w:pPr>
            <w:r w:rsidRPr="00277E46">
              <w:rPr>
                <w:sz w:val="22"/>
              </w:rPr>
              <w:t>Echange (+)</w:t>
            </w:r>
          </w:p>
          <w:p w14:paraId="6D8DE093" w14:textId="77777777" w:rsidR="00FA0569" w:rsidRPr="00277E46" w:rsidRDefault="00FA0569" w:rsidP="00FF131D">
            <w:pPr>
              <w:spacing w:line="240" w:lineRule="auto"/>
              <w:jc w:val="left"/>
              <w:rPr>
                <w:sz w:val="22"/>
              </w:rPr>
            </w:pPr>
            <w:r w:rsidRPr="00277E46">
              <w:rPr>
                <w:sz w:val="22"/>
              </w:rPr>
              <w:t>Dialogue (+)</w:t>
            </w:r>
          </w:p>
          <w:p w14:paraId="76ED5458" w14:textId="77777777" w:rsidR="00FA0569" w:rsidRPr="00277E46" w:rsidRDefault="00FA0569" w:rsidP="00FF131D">
            <w:pPr>
              <w:spacing w:line="240" w:lineRule="auto"/>
              <w:jc w:val="left"/>
              <w:rPr>
                <w:sz w:val="22"/>
              </w:rPr>
            </w:pPr>
            <w:r w:rsidRPr="00277E46">
              <w:rPr>
                <w:sz w:val="22"/>
              </w:rPr>
              <w:t>Communauté (+)</w:t>
            </w:r>
          </w:p>
          <w:p w14:paraId="09C9B85F" w14:textId="77777777" w:rsidR="00FA0569" w:rsidRPr="00277E46" w:rsidRDefault="00FA0569" w:rsidP="00FF131D">
            <w:pPr>
              <w:spacing w:line="240" w:lineRule="auto"/>
              <w:jc w:val="left"/>
              <w:rPr>
                <w:sz w:val="22"/>
              </w:rPr>
            </w:pPr>
            <w:r w:rsidRPr="00277E46">
              <w:rPr>
                <w:sz w:val="22"/>
              </w:rPr>
              <w:t>Réseau (+)</w:t>
            </w:r>
          </w:p>
          <w:p w14:paraId="1AB2C67E" w14:textId="77777777" w:rsidR="00FA0569" w:rsidRPr="00277E46" w:rsidRDefault="00FA0569" w:rsidP="00FF131D">
            <w:pPr>
              <w:spacing w:line="240" w:lineRule="auto"/>
              <w:jc w:val="left"/>
              <w:rPr>
                <w:sz w:val="22"/>
              </w:rPr>
            </w:pPr>
            <w:r w:rsidRPr="00277E46">
              <w:rPr>
                <w:sz w:val="22"/>
              </w:rPr>
              <w:t>Union (+)</w:t>
            </w:r>
          </w:p>
        </w:tc>
        <w:tc>
          <w:tcPr>
            <w:tcW w:w="1701" w:type="dxa"/>
          </w:tcPr>
          <w:p w14:paraId="5775892B" w14:textId="77777777" w:rsidR="00FA0569" w:rsidRPr="00277E46" w:rsidRDefault="00FA0569" w:rsidP="00FF131D">
            <w:pPr>
              <w:spacing w:line="240" w:lineRule="auto"/>
              <w:jc w:val="left"/>
              <w:rPr>
                <w:sz w:val="22"/>
              </w:rPr>
            </w:pPr>
            <w:r w:rsidRPr="00277E46">
              <w:rPr>
                <w:sz w:val="22"/>
              </w:rPr>
              <w:t>Valeurs (+)</w:t>
            </w:r>
          </w:p>
          <w:p w14:paraId="531C15B4" w14:textId="77777777" w:rsidR="00FA0569" w:rsidRPr="00277E46" w:rsidRDefault="00FA0569" w:rsidP="00FF131D">
            <w:pPr>
              <w:spacing w:line="240" w:lineRule="auto"/>
              <w:jc w:val="left"/>
              <w:rPr>
                <w:sz w:val="22"/>
              </w:rPr>
            </w:pPr>
            <w:r w:rsidRPr="00277E46">
              <w:rPr>
                <w:sz w:val="22"/>
              </w:rPr>
              <w:t>Confiance (+)</w:t>
            </w:r>
            <w:r w:rsidR="00FF131D" w:rsidRPr="00277E46">
              <w:rPr>
                <w:sz w:val="22"/>
              </w:rPr>
              <w:t xml:space="preserve"> </w:t>
            </w:r>
            <w:r w:rsidR="000A1958" w:rsidRPr="00277E46">
              <w:rPr>
                <w:sz w:val="22"/>
              </w:rPr>
              <w:t>x2</w:t>
            </w:r>
          </w:p>
          <w:p w14:paraId="7779877C" w14:textId="77777777" w:rsidR="00FA0569" w:rsidRPr="00277E46" w:rsidRDefault="00FA0569" w:rsidP="00FF131D">
            <w:pPr>
              <w:spacing w:line="240" w:lineRule="auto"/>
              <w:jc w:val="left"/>
              <w:rPr>
                <w:sz w:val="22"/>
              </w:rPr>
            </w:pPr>
            <w:r w:rsidRPr="00277E46">
              <w:rPr>
                <w:sz w:val="22"/>
              </w:rPr>
              <w:t>Entente (+)</w:t>
            </w:r>
          </w:p>
          <w:p w14:paraId="0C4F8BDF" w14:textId="77777777" w:rsidR="00FA0569" w:rsidRPr="00277E46" w:rsidRDefault="00FA0569" w:rsidP="00FF131D">
            <w:pPr>
              <w:spacing w:line="240" w:lineRule="auto"/>
              <w:jc w:val="left"/>
              <w:rPr>
                <w:sz w:val="22"/>
              </w:rPr>
            </w:pPr>
            <w:r w:rsidRPr="00277E46">
              <w:rPr>
                <w:sz w:val="22"/>
              </w:rPr>
              <w:t>Respect (+)</w:t>
            </w:r>
          </w:p>
          <w:p w14:paraId="62B5AC2C" w14:textId="77777777" w:rsidR="00FA0569" w:rsidRPr="00277E46" w:rsidRDefault="00FA0569" w:rsidP="00FF131D">
            <w:pPr>
              <w:spacing w:line="240" w:lineRule="auto"/>
              <w:jc w:val="left"/>
              <w:rPr>
                <w:sz w:val="22"/>
              </w:rPr>
            </w:pPr>
            <w:r w:rsidRPr="00277E46">
              <w:rPr>
                <w:sz w:val="22"/>
              </w:rPr>
              <w:t>Réciprocité (+)</w:t>
            </w:r>
          </w:p>
          <w:p w14:paraId="6E9AFCBB" w14:textId="77777777" w:rsidR="00FA0569" w:rsidRPr="00277E46" w:rsidRDefault="00FA0569" w:rsidP="00FF131D">
            <w:pPr>
              <w:spacing w:line="240" w:lineRule="auto"/>
              <w:jc w:val="left"/>
              <w:rPr>
                <w:sz w:val="22"/>
              </w:rPr>
            </w:pPr>
            <w:r w:rsidRPr="00277E46">
              <w:rPr>
                <w:sz w:val="22"/>
              </w:rPr>
              <w:t>Partage (+)</w:t>
            </w:r>
            <w:r w:rsidR="00FF131D" w:rsidRPr="00277E46">
              <w:rPr>
                <w:sz w:val="22"/>
              </w:rPr>
              <w:t xml:space="preserve"> </w:t>
            </w:r>
            <w:r w:rsidR="000A1958" w:rsidRPr="00277E46">
              <w:rPr>
                <w:sz w:val="22"/>
              </w:rPr>
              <w:t>x2</w:t>
            </w:r>
          </w:p>
          <w:p w14:paraId="4ADE8F97" w14:textId="77777777" w:rsidR="00FA0569" w:rsidRPr="00277E46" w:rsidRDefault="00FA0569" w:rsidP="00FF131D">
            <w:pPr>
              <w:spacing w:line="240" w:lineRule="auto"/>
              <w:jc w:val="left"/>
              <w:rPr>
                <w:sz w:val="22"/>
              </w:rPr>
            </w:pPr>
          </w:p>
          <w:p w14:paraId="57375EDC" w14:textId="77777777" w:rsidR="00FA0569" w:rsidRPr="00277E46" w:rsidRDefault="00FA0569" w:rsidP="00FF131D">
            <w:pPr>
              <w:spacing w:line="240" w:lineRule="auto"/>
              <w:jc w:val="left"/>
              <w:rPr>
                <w:sz w:val="22"/>
              </w:rPr>
            </w:pPr>
          </w:p>
        </w:tc>
        <w:tc>
          <w:tcPr>
            <w:tcW w:w="1979" w:type="dxa"/>
          </w:tcPr>
          <w:p w14:paraId="023EF0F2" w14:textId="77777777" w:rsidR="00FA0569" w:rsidRPr="00277E46" w:rsidRDefault="00FA0569" w:rsidP="00FF131D">
            <w:pPr>
              <w:spacing w:line="240" w:lineRule="auto"/>
              <w:jc w:val="left"/>
              <w:rPr>
                <w:sz w:val="22"/>
              </w:rPr>
            </w:pPr>
            <w:r w:rsidRPr="00277E46">
              <w:rPr>
                <w:sz w:val="22"/>
              </w:rPr>
              <w:t>Compétence (+)</w:t>
            </w:r>
          </w:p>
          <w:p w14:paraId="43AE3148" w14:textId="77777777" w:rsidR="00FA0569" w:rsidRPr="00277E46" w:rsidRDefault="00FA0569" w:rsidP="00FF131D">
            <w:pPr>
              <w:spacing w:line="240" w:lineRule="auto"/>
              <w:jc w:val="left"/>
              <w:rPr>
                <w:sz w:val="22"/>
              </w:rPr>
            </w:pPr>
            <w:r w:rsidRPr="00277E46">
              <w:rPr>
                <w:sz w:val="22"/>
              </w:rPr>
              <w:t>Excellence (+)</w:t>
            </w:r>
          </w:p>
          <w:p w14:paraId="0CA567EF" w14:textId="77777777" w:rsidR="00FA0569" w:rsidRPr="00277E46" w:rsidRDefault="00FA0569" w:rsidP="00FF131D">
            <w:pPr>
              <w:spacing w:line="240" w:lineRule="auto"/>
              <w:jc w:val="left"/>
              <w:rPr>
                <w:sz w:val="22"/>
              </w:rPr>
            </w:pPr>
            <w:r w:rsidRPr="00277E46">
              <w:rPr>
                <w:sz w:val="22"/>
              </w:rPr>
              <w:t>Reconnaissance (+)</w:t>
            </w:r>
          </w:p>
          <w:p w14:paraId="4090FEF6" w14:textId="77777777" w:rsidR="00FA0569" w:rsidRPr="00277E46" w:rsidRDefault="00FA0569" w:rsidP="00FF131D">
            <w:pPr>
              <w:spacing w:line="240" w:lineRule="auto"/>
              <w:jc w:val="left"/>
              <w:rPr>
                <w:sz w:val="22"/>
              </w:rPr>
            </w:pPr>
            <w:r w:rsidRPr="00277E46">
              <w:rPr>
                <w:sz w:val="22"/>
              </w:rPr>
              <w:t>Qualité (+)</w:t>
            </w:r>
          </w:p>
          <w:p w14:paraId="1591F39E" w14:textId="77777777" w:rsidR="00FA0569" w:rsidRPr="00277E46" w:rsidRDefault="00FA0569" w:rsidP="00FF131D">
            <w:pPr>
              <w:spacing w:line="240" w:lineRule="auto"/>
              <w:jc w:val="left"/>
              <w:rPr>
                <w:sz w:val="22"/>
              </w:rPr>
            </w:pPr>
            <w:r w:rsidRPr="00277E46">
              <w:rPr>
                <w:sz w:val="22"/>
              </w:rPr>
              <w:t>Évolution (+)</w:t>
            </w:r>
          </w:p>
          <w:p w14:paraId="1B3BBC7B" w14:textId="77777777" w:rsidR="00FA0569" w:rsidRPr="00277E46" w:rsidRDefault="00FA0569" w:rsidP="00FF131D">
            <w:pPr>
              <w:spacing w:line="240" w:lineRule="auto"/>
              <w:jc w:val="left"/>
              <w:rPr>
                <w:sz w:val="22"/>
              </w:rPr>
            </w:pPr>
            <w:r w:rsidRPr="00277E46">
              <w:rPr>
                <w:sz w:val="22"/>
              </w:rPr>
              <w:t xml:space="preserve">Force (+) </w:t>
            </w:r>
          </w:p>
        </w:tc>
      </w:tr>
      <w:tr w:rsidR="00277E46" w:rsidRPr="00277E46" w14:paraId="4EFA6C9C" w14:textId="77777777" w:rsidTr="00983721">
        <w:tc>
          <w:tcPr>
            <w:tcW w:w="1242" w:type="dxa"/>
          </w:tcPr>
          <w:p w14:paraId="6218AABC" w14:textId="6EF66C46" w:rsidR="00983721" w:rsidRPr="00277E46" w:rsidRDefault="00FA0569" w:rsidP="008061CE">
            <w:pPr>
              <w:spacing w:line="240" w:lineRule="auto"/>
              <w:jc w:val="left"/>
              <w:rPr>
                <w:sz w:val="22"/>
              </w:rPr>
            </w:pPr>
            <w:r w:rsidRPr="00277E46">
              <w:rPr>
                <w:sz w:val="22"/>
              </w:rPr>
              <w:t xml:space="preserve">Total </w:t>
            </w:r>
            <w:r w:rsidR="008061CE" w:rsidRPr="00277E46">
              <w:rPr>
                <w:sz w:val="22"/>
              </w:rPr>
              <w:t>(+/ -)</w:t>
            </w:r>
          </w:p>
        </w:tc>
        <w:tc>
          <w:tcPr>
            <w:tcW w:w="2155" w:type="dxa"/>
          </w:tcPr>
          <w:p w14:paraId="22F8BEA7" w14:textId="20170160" w:rsidR="00983721" w:rsidRPr="00277E46" w:rsidRDefault="00FA0569" w:rsidP="008061CE">
            <w:pPr>
              <w:spacing w:line="240" w:lineRule="auto"/>
              <w:jc w:val="center"/>
              <w:rPr>
                <w:sz w:val="22"/>
              </w:rPr>
            </w:pPr>
            <w:r w:rsidRPr="00277E46">
              <w:rPr>
                <w:sz w:val="22"/>
              </w:rPr>
              <w:t>20</w:t>
            </w:r>
            <w:r w:rsidR="008061CE" w:rsidRPr="00277E46">
              <w:rPr>
                <w:sz w:val="22"/>
              </w:rPr>
              <w:t xml:space="preserve"> (14 / 6)</w:t>
            </w:r>
          </w:p>
        </w:tc>
        <w:tc>
          <w:tcPr>
            <w:tcW w:w="1985" w:type="dxa"/>
          </w:tcPr>
          <w:p w14:paraId="7079D4A2" w14:textId="0C290358" w:rsidR="00983721" w:rsidRPr="00277E46" w:rsidRDefault="00FA0569" w:rsidP="008061CE">
            <w:pPr>
              <w:spacing w:line="240" w:lineRule="auto"/>
              <w:jc w:val="center"/>
              <w:rPr>
                <w:sz w:val="22"/>
              </w:rPr>
            </w:pPr>
            <w:r w:rsidRPr="00277E46">
              <w:rPr>
                <w:sz w:val="22"/>
              </w:rPr>
              <w:t>14</w:t>
            </w:r>
            <w:r w:rsidR="008061CE" w:rsidRPr="00277E46">
              <w:rPr>
                <w:sz w:val="22"/>
              </w:rPr>
              <w:t xml:space="preserve"> (14 / 0)</w:t>
            </w:r>
          </w:p>
        </w:tc>
        <w:tc>
          <w:tcPr>
            <w:tcW w:w="1701" w:type="dxa"/>
          </w:tcPr>
          <w:p w14:paraId="69A8F3F0" w14:textId="1A7E7CC5" w:rsidR="00983721" w:rsidRPr="00277E46" w:rsidRDefault="00FA0569" w:rsidP="008061CE">
            <w:pPr>
              <w:spacing w:line="240" w:lineRule="auto"/>
              <w:jc w:val="center"/>
              <w:rPr>
                <w:sz w:val="22"/>
              </w:rPr>
            </w:pPr>
            <w:r w:rsidRPr="00277E46">
              <w:rPr>
                <w:sz w:val="22"/>
              </w:rPr>
              <w:t>8</w:t>
            </w:r>
            <w:r w:rsidR="008061CE" w:rsidRPr="00277E46">
              <w:rPr>
                <w:sz w:val="22"/>
              </w:rPr>
              <w:t xml:space="preserve"> (8 / 0)</w:t>
            </w:r>
          </w:p>
        </w:tc>
        <w:tc>
          <w:tcPr>
            <w:tcW w:w="1979" w:type="dxa"/>
          </w:tcPr>
          <w:p w14:paraId="3A61A4C2" w14:textId="19CCC3E9" w:rsidR="00983721" w:rsidRPr="00277E46" w:rsidRDefault="00FA0569" w:rsidP="008061CE">
            <w:pPr>
              <w:spacing w:line="240" w:lineRule="auto"/>
              <w:jc w:val="center"/>
              <w:rPr>
                <w:sz w:val="22"/>
              </w:rPr>
            </w:pPr>
            <w:r w:rsidRPr="00277E46">
              <w:rPr>
                <w:sz w:val="22"/>
              </w:rPr>
              <w:t>6</w:t>
            </w:r>
            <w:r w:rsidR="008061CE" w:rsidRPr="00277E46">
              <w:rPr>
                <w:sz w:val="22"/>
              </w:rPr>
              <w:t xml:space="preserve"> (6 / 0)</w:t>
            </w:r>
          </w:p>
        </w:tc>
      </w:tr>
      <w:tr w:rsidR="00277E46" w:rsidRPr="00277E46" w14:paraId="5057503A" w14:textId="77777777" w:rsidTr="000632A2">
        <w:tc>
          <w:tcPr>
            <w:tcW w:w="9062" w:type="dxa"/>
            <w:gridSpan w:val="5"/>
            <w:shd w:val="clear" w:color="auto" w:fill="BFBFBF" w:themeFill="background1" w:themeFillShade="BF"/>
          </w:tcPr>
          <w:p w14:paraId="7825771B" w14:textId="77777777" w:rsidR="000632A2" w:rsidRPr="00277E46" w:rsidRDefault="000632A2" w:rsidP="000632A2">
            <w:pPr>
              <w:spacing w:line="240" w:lineRule="auto"/>
              <w:jc w:val="center"/>
              <w:rPr>
                <w:sz w:val="22"/>
              </w:rPr>
            </w:pPr>
            <w:proofErr w:type="spellStart"/>
            <w:r w:rsidRPr="00277E46">
              <w:rPr>
                <w:sz w:val="22"/>
              </w:rPr>
              <w:t>Ostéobio</w:t>
            </w:r>
            <w:proofErr w:type="spellEnd"/>
          </w:p>
        </w:tc>
      </w:tr>
      <w:tr w:rsidR="00277E46" w:rsidRPr="00277E46" w14:paraId="3F639B44" w14:textId="77777777" w:rsidTr="00983721">
        <w:tc>
          <w:tcPr>
            <w:tcW w:w="1242" w:type="dxa"/>
            <w:vAlign w:val="center"/>
          </w:tcPr>
          <w:p w14:paraId="40ADA001" w14:textId="36AD6819" w:rsidR="000632A2" w:rsidRPr="00277E46" w:rsidRDefault="000632A2" w:rsidP="00DF09AD">
            <w:pPr>
              <w:tabs>
                <w:tab w:val="center" w:pos="1520"/>
              </w:tabs>
              <w:spacing w:line="240" w:lineRule="auto"/>
              <w:jc w:val="left"/>
              <w:rPr>
                <w:sz w:val="22"/>
              </w:rPr>
            </w:pPr>
            <w:r w:rsidRPr="00277E46">
              <w:rPr>
                <w:sz w:val="22"/>
              </w:rPr>
              <w:t xml:space="preserve">Mots </w:t>
            </w:r>
            <w:r w:rsidR="00DF09AD" w:rsidRPr="00277E46">
              <w:rPr>
                <w:sz w:val="22"/>
              </w:rPr>
              <w:t>collectés</w:t>
            </w:r>
          </w:p>
        </w:tc>
        <w:tc>
          <w:tcPr>
            <w:tcW w:w="2155" w:type="dxa"/>
          </w:tcPr>
          <w:p w14:paraId="5FE02585" w14:textId="77777777" w:rsidR="000632A2" w:rsidRPr="00277E46" w:rsidRDefault="000632A2" w:rsidP="00FF131D">
            <w:pPr>
              <w:spacing w:line="240" w:lineRule="auto"/>
              <w:jc w:val="left"/>
              <w:rPr>
                <w:sz w:val="22"/>
              </w:rPr>
            </w:pPr>
            <w:r w:rsidRPr="00277E46">
              <w:rPr>
                <w:sz w:val="22"/>
              </w:rPr>
              <w:t>Partenariat</w:t>
            </w:r>
            <w:r w:rsidR="00FF131D" w:rsidRPr="00277E46">
              <w:rPr>
                <w:sz w:val="22"/>
              </w:rPr>
              <w:t xml:space="preserve"> </w:t>
            </w:r>
            <w:r w:rsidRPr="00277E46">
              <w:rPr>
                <w:sz w:val="22"/>
              </w:rPr>
              <w:t>(+) Développement</w:t>
            </w:r>
            <w:r w:rsidR="00FF131D" w:rsidRPr="00277E46">
              <w:rPr>
                <w:sz w:val="22"/>
              </w:rPr>
              <w:t xml:space="preserve"> </w:t>
            </w:r>
            <w:r w:rsidRPr="00277E46">
              <w:rPr>
                <w:sz w:val="22"/>
              </w:rPr>
              <w:t>(+) Richesse</w:t>
            </w:r>
            <w:r w:rsidR="00FF131D" w:rsidRPr="00277E46">
              <w:rPr>
                <w:sz w:val="22"/>
              </w:rPr>
              <w:t xml:space="preserve"> </w:t>
            </w:r>
            <w:r w:rsidRPr="00277E46">
              <w:rPr>
                <w:sz w:val="22"/>
              </w:rPr>
              <w:t>(+) Représentativité</w:t>
            </w:r>
            <w:r w:rsidR="00FF131D" w:rsidRPr="00277E46">
              <w:rPr>
                <w:sz w:val="22"/>
              </w:rPr>
              <w:t xml:space="preserve"> </w:t>
            </w:r>
            <w:r w:rsidRPr="00277E46">
              <w:rPr>
                <w:sz w:val="22"/>
              </w:rPr>
              <w:t>(+)</w:t>
            </w:r>
          </w:p>
          <w:p w14:paraId="350C5362" w14:textId="77777777" w:rsidR="00FF131D" w:rsidRPr="00277E46" w:rsidRDefault="000632A2" w:rsidP="00FF131D">
            <w:pPr>
              <w:spacing w:line="240" w:lineRule="auto"/>
              <w:jc w:val="left"/>
              <w:rPr>
                <w:sz w:val="22"/>
              </w:rPr>
            </w:pPr>
            <w:r w:rsidRPr="00277E46">
              <w:rPr>
                <w:sz w:val="22"/>
              </w:rPr>
              <w:t>Politique</w:t>
            </w:r>
            <w:r w:rsidR="00FF131D" w:rsidRPr="00277E46">
              <w:rPr>
                <w:sz w:val="22"/>
              </w:rPr>
              <w:t xml:space="preserve"> </w:t>
            </w:r>
            <w:r w:rsidRPr="00277E46">
              <w:rPr>
                <w:sz w:val="22"/>
              </w:rPr>
              <w:t>(-) Puissance</w:t>
            </w:r>
            <w:r w:rsidR="00FF131D" w:rsidRPr="00277E46">
              <w:rPr>
                <w:sz w:val="22"/>
              </w:rPr>
              <w:t xml:space="preserve"> </w:t>
            </w:r>
            <w:r w:rsidRPr="00277E46">
              <w:rPr>
                <w:sz w:val="22"/>
              </w:rPr>
              <w:t>(+) Recherche</w:t>
            </w:r>
            <w:r w:rsidR="00FF131D" w:rsidRPr="00277E46">
              <w:rPr>
                <w:sz w:val="22"/>
              </w:rPr>
              <w:t xml:space="preserve"> </w:t>
            </w:r>
            <w:r w:rsidRPr="00277E46">
              <w:rPr>
                <w:sz w:val="22"/>
              </w:rPr>
              <w:t>(+) Collaboration</w:t>
            </w:r>
            <w:r w:rsidR="000A1958" w:rsidRPr="00277E46">
              <w:rPr>
                <w:sz w:val="22"/>
              </w:rPr>
              <w:t xml:space="preserve"> </w:t>
            </w:r>
            <w:r w:rsidRPr="00277E46">
              <w:rPr>
                <w:sz w:val="22"/>
              </w:rPr>
              <w:t>(+)</w:t>
            </w:r>
            <w:r w:rsidR="000A1958" w:rsidRPr="00277E46">
              <w:rPr>
                <w:sz w:val="22"/>
              </w:rPr>
              <w:t xml:space="preserve"> x2</w:t>
            </w:r>
            <w:r w:rsidRPr="00277E46">
              <w:rPr>
                <w:sz w:val="22"/>
              </w:rPr>
              <w:t xml:space="preserve"> </w:t>
            </w:r>
          </w:p>
          <w:p w14:paraId="34E797F1" w14:textId="77777777" w:rsidR="000A1958" w:rsidRPr="00277E46" w:rsidRDefault="000632A2" w:rsidP="00FF131D">
            <w:pPr>
              <w:spacing w:line="240" w:lineRule="auto"/>
              <w:jc w:val="left"/>
              <w:rPr>
                <w:sz w:val="22"/>
              </w:rPr>
            </w:pPr>
            <w:r w:rsidRPr="00277E46">
              <w:rPr>
                <w:sz w:val="22"/>
              </w:rPr>
              <w:t>Coopération</w:t>
            </w:r>
            <w:r w:rsidR="000A1958" w:rsidRPr="00277E46">
              <w:rPr>
                <w:sz w:val="22"/>
              </w:rPr>
              <w:t xml:space="preserve"> </w:t>
            </w:r>
            <w:r w:rsidRPr="00277E46">
              <w:rPr>
                <w:sz w:val="22"/>
              </w:rPr>
              <w:t xml:space="preserve">(+) </w:t>
            </w:r>
            <w:r w:rsidR="000A1958" w:rsidRPr="00277E46">
              <w:rPr>
                <w:sz w:val="22"/>
              </w:rPr>
              <w:t>x2</w:t>
            </w:r>
          </w:p>
          <w:p w14:paraId="33BCBB03" w14:textId="77777777" w:rsidR="00FF131D" w:rsidRPr="00277E46" w:rsidRDefault="000632A2" w:rsidP="00FF131D">
            <w:pPr>
              <w:spacing w:line="240" w:lineRule="auto"/>
              <w:jc w:val="left"/>
              <w:rPr>
                <w:sz w:val="22"/>
              </w:rPr>
            </w:pPr>
            <w:r w:rsidRPr="00277E46">
              <w:rPr>
                <w:sz w:val="22"/>
              </w:rPr>
              <w:t>Mutualisation</w:t>
            </w:r>
            <w:r w:rsidR="00FF131D" w:rsidRPr="00277E46">
              <w:rPr>
                <w:sz w:val="22"/>
              </w:rPr>
              <w:t xml:space="preserve"> </w:t>
            </w:r>
            <w:r w:rsidRPr="00277E46">
              <w:rPr>
                <w:sz w:val="22"/>
              </w:rPr>
              <w:t xml:space="preserve">(+) </w:t>
            </w:r>
            <w:r w:rsidR="000A1958" w:rsidRPr="00277E46">
              <w:rPr>
                <w:sz w:val="22"/>
              </w:rPr>
              <w:t>x2</w:t>
            </w:r>
          </w:p>
          <w:p w14:paraId="6A5F4059" w14:textId="77777777" w:rsidR="000632A2" w:rsidRPr="00277E46" w:rsidRDefault="000632A2" w:rsidP="00FF131D">
            <w:pPr>
              <w:spacing w:line="240" w:lineRule="auto"/>
              <w:jc w:val="left"/>
              <w:rPr>
                <w:sz w:val="22"/>
              </w:rPr>
            </w:pPr>
            <w:r w:rsidRPr="00277E46">
              <w:rPr>
                <w:sz w:val="22"/>
              </w:rPr>
              <w:t>Coordination</w:t>
            </w:r>
            <w:r w:rsidR="00FF131D" w:rsidRPr="00277E46">
              <w:rPr>
                <w:sz w:val="22"/>
              </w:rPr>
              <w:t xml:space="preserve"> </w:t>
            </w:r>
            <w:r w:rsidRPr="00277E46">
              <w:rPr>
                <w:sz w:val="22"/>
              </w:rPr>
              <w:t>(-) Convergence</w:t>
            </w:r>
            <w:r w:rsidR="00FF131D" w:rsidRPr="00277E46">
              <w:rPr>
                <w:sz w:val="22"/>
              </w:rPr>
              <w:t xml:space="preserve"> </w:t>
            </w:r>
            <w:r w:rsidRPr="00277E46">
              <w:rPr>
                <w:sz w:val="22"/>
              </w:rPr>
              <w:t>(+) Difficultés</w:t>
            </w:r>
            <w:r w:rsidR="00FF131D" w:rsidRPr="00277E46">
              <w:rPr>
                <w:sz w:val="22"/>
              </w:rPr>
              <w:t xml:space="preserve"> </w:t>
            </w:r>
            <w:r w:rsidRPr="00277E46">
              <w:rPr>
                <w:sz w:val="22"/>
              </w:rPr>
              <w:t>(-) Assurance</w:t>
            </w:r>
            <w:r w:rsidR="00FF131D" w:rsidRPr="00277E46">
              <w:rPr>
                <w:sz w:val="22"/>
              </w:rPr>
              <w:t xml:space="preserve"> </w:t>
            </w:r>
            <w:r w:rsidRPr="00277E46">
              <w:rPr>
                <w:sz w:val="22"/>
              </w:rPr>
              <w:t>(+)</w:t>
            </w:r>
          </w:p>
        </w:tc>
        <w:tc>
          <w:tcPr>
            <w:tcW w:w="1985" w:type="dxa"/>
          </w:tcPr>
          <w:p w14:paraId="63348380" w14:textId="77777777" w:rsidR="00FF131D" w:rsidRPr="00277E46" w:rsidRDefault="000632A2" w:rsidP="00FF131D">
            <w:pPr>
              <w:tabs>
                <w:tab w:val="center" w:pos="1520"/>
              </w:tabs>
              <w:spacing w:line="240" w:lineRule="auto"/>
              <w:jc w:val="left"/>
              <w:rPr>
                <w:sz w:val="22"/>
              </w:rPr>
            </w:pPr>
            <w:r w:rsidRPr="00277E46">
              <w:rPr>
                <w:sz w:val="22"/>
              </w:rPr>
              <w:t>Valeurs</w:t>
            </w:r>
            <w:r w:rsidR="00FF131D" w:rsidRPr="00277E46">
              <w:rPr>
                <w:sz w:val="22"/>
              </w:rPr>
              <w:t xml:space="preserve"> </w:t>
            </w:r>
            <w:r w:rsidRPr="00277E46">
              <w:rPr>
                <w:sz w:val="22"/>
              </w:rPr>
              <w:t xml:space="preserve">(+) </w:t>
            </w:r>
          </w:p>
          <w:p w14:paraId="70A5B84A" w14:textId="77777777" w:rsidR="00FF131D" w:rsidRPr="00277E46" w:rsidRDefault="000632A2" w:rsidP="00FF131D">
            <w:pPr>
              <w:tabs>
                <w:tab w:val="center" w:pos="1520"/>
              </w:tabs>
              <w:spacing w:line="240" w:lineRule="auto"/>
              <w:jc w:val="left"/>
              <w:rPr>
                <w:sz w:val="22"/>
              </w:rPr>
            </w:pPr>
            <w:r w:rsidRPr="00277E46">
              <w:rPr>
                <w:sz w:val="22"/>
              </w:rPr>
              <w:t>Partage</w:t>
            </w:r>
            <w:r w:rsidR="00FF131D" w:rsidRPr="00277E46">
              <w:rPr>
                <w:sz w:val="22"/>
              </w:rPr>
              <w:t xml:space="preserve"> </w:t>
            </w:r>
            <w:r w:rsidRPr="00277E46">
              <w:rPr>
                <w:sz w:val="22"/>
              </w:rPr>
              <w:t xml:space="preserve">(+) </w:t>
            </w:r>
          </w:p>
          <w:p w14:paraId="209BD337" w14:textId="77777777" w:rsidR="00FF131D" w:rsidRPr="00277E46" w:rsidRDefault="000632A2" w:rsidP="00FF131D">
            <w:pPr>
              <w:tabs>
                <w:tab w:val="center" w:pos="1520"/>
              </w:tabs>
              <w:spacing w:line="240" w:lineRule="auto"/>
              <w:jc w:val="left"/>
              <w:rPr>
                <w:sz w:val="22"/>
              </w:rPr>
            </w:pPr>
            <w:r w:rsidRPr="00277E46">
              <w:rPr>
                <w:sz w:val="22"/>
              </w:rPr>
              <w:t>Éthique</w:t>
            </w:r>
            <w:r w:rsidR="00FF131D" w:rsidRPr="00277E46">
              <w:rPr>
                <w:sz w:val="22"/>
              </w:rPr>
              <w:t xml:space="preserve"> </w:t>
            </w:r>
            <w:r w:rsidRPr="00277E46">
              <w:rPr>
                <w:sz w:val="22"/>
              </w:rPr>
              <w:t>(+) Entraide</w:t>
            </w:r>
            <w:r w:rsidR="00FF131D" w:rsidRPr="00277E46">
              <w:rPr>
                <w:sz w:val="22"/>
              </w:rPr>
              <w:t xml:space="preserve"> </w:t>
            </w:r>
            <w:r w:rsidRPr="00277E46">
              <w:rPr>
                <w:sz w:val="22"/>
              </w:rPr>
              <w:t xml:space="preserve">(+) </w:t>
            </w:r>
          </w:p>
          <w:p w14:paraId="1502A0DA" w14:textId="77777777" w:rsidR="000632A2" w:rsidRPr="00277E46" w:rsidRDefault="000632A2" w:rsidP="00FF131D">
            <w:pPr>
              <w:tabs>
                <w:tab w:val="center" w:pos="1520"/>
              </w:tabs>
              <w:spacing w:line="240" w:lineRule="auto"/>
              <w:jc w:val="left"/>
              <w:rPr>
                <w:sz w:val="22"/>
              </w:rPr>
            </w:pPr>
            <w:r w:rsidRPr="00277E46">
              <w:rPr>
                <w:sz w:val="22"/>
              </w:rPr>
              <w:t>Entente</w:t>
            </w:r>
            <w:r w:rsidR="00FF131D" w:rsidRPr="00277E46">
              <w:rPr>
                <w:sz w:val="22"/>
              </w:rPr>
              <w:t xml:space="preserve"> </w:t>
            </w:r>
            <w:r w:rsidRPr="00277E46">
              <w:rPr>
                <w:sz w:val="22"/>
              </w:rPr>
              <w:t xml:space="preserve">(+) </w:t>
            </w:r>
          </w:p>
          <w:p w14:paraId="20E183B2" w14:textId="77777777" w:rsidR="00FF131D" w:rsidRPr="00277E46" w:rsidRDefault="000632A2" w:rsidP="00FF131D">
            <w:pPr>
              <w:tabs>
                <w:tab w:val="center" w:pos="1520"/>
              </w:tabs>
              <w:spacing w:line="240" w:lineRule="auto"/>
              <w:jc w:val="left"/>
              <w:rPr>
                <w:sz w:val="22"/>
              </w:rPr>
            </w:pPr>
            <w:r w:rsidRPr="00277E46">
              <w:rPr>
                <w:sz w:val="22"/>
              </w:rPr>
              <w:t>Unité</w:t>
            </w:r>
            <w:r w:rsidR="00FF131D" w:rsidRPr="00277E46">
              <w:rPr>
                <w:sz w:val="22"/>
              </w:rPr>
              <w:t xml:space="preserve"> </w:t>
            </w:r>
            <w:r w:rsidRPr="00277E46">
              <w:rPr>
                <w:sz w:val="22"/>
              </w:rPr>
              <w:t xml:space="preserve">(+) </w:t>
            </w:r>
          </w:p>
          <w:p w14:paraId="0685F57F" w14:textId="77777777" w:rsidR="00FF131D" w:rsidRPr="00277E46" w:rsidRDefault="000632A2" w:rsidP="00FF131D">
            <w:pPr>
              <w:tabs>
                <w:tab w:val="center" w:pos="1520"/>
              </w:tabs>
              <w:spacing w:line="240" w:lineRule="auto"/>
              <w:jc w:val="left"/>
              <w:rPr>
                <w:sz w:val="22"/>
              </w:rPr>
            </w:pPr>
            <w:r w:rsidRPr="00277E46">
              <w:rPr>
                <w:sz w:val="22"/>
              </w:rPr>
              <w:t>Échange</w:t>
            </w:r>
            <w:r w:rsidR="00FF131D" w:rsidRPr="00277E46">
              <w:rPr>
                <w:sz w:val="22"/>
              </w:rPr>
              <w:t xml:space="preserve"> </w:t>
            </w:r>
            <w:r w:rsidRPr="00277E46">
              <w:rPr>
                <w:sz w:val="22"/>
              </w:rPr>
              <w:t>(+) Affection</w:t>
            </w:r>
            <w:r w:rsidR="00FF131D" w:rsidRPr="00277E46">
              <w:rPr>
                <w:sz w:val="22"/>
              </w:rPr>
              <w:t xml:space="preserve"> </w:t>
            </w:r>
            <w:r w:rsidRPr="00277E46">
              <w:rPr>
                <w:sz w:val="22"/>
              </w:rPr>
              <w:t>(+) Complémentarité</w:t>
            </w:r>
            <w:r w:rsidR="00FF131D" w:rsidRPr="00277E46">
              <w:rPr>
                <w:sz w:val="22"/>
              </w:rPr>
              <w:t xml:space="preserve"> </w:t>
            </w:r>
            <w:r w:rsidRPr="00277E46">
              <w:rPr>
                <w:sz w:val="22"/>
              </w:rPr>
              <w:t xml:space="preserve">(+) </w:t>
            </w:r>
          </w:p>
          <w:p w14:paraId="5C27B498" w14:textId="77777777" w:rsidR="000A1958" w:rsidRPr="00277E46" w:rsidRDefault="000632A2" w:rsidP="00FF131D">
            <w:pPr>
              <w:tabs>
                <w:tab w:val="center" w:pos="1520"/>
              </w:tabs>
              <w:spacing w:line="240" w:lineRule="auto"/>
              <w:jc w:val="left"/>
              <w:rPr>
                <w:sz w:val="22"/>
              </w:rPr>
            </w:pPr>
            <w:r w:rsidRPr="00277E46">
              <w:rPr>
                <w:sz w:val="22"/>
              </w:rPr>
              <w:t>Ouverture</w:t>
            </w:r>
            <w:r w:rsidR="00FF131D" w:rsidRPr="00277E46">
              <w:rPr>
                <w:sz w:val="22"/>
              </w:rPr>
              <w:t xml:space="preserve"> </w:t>
            </w:r>
            <w:r w:rsidRPr="00277E46">
              <w:rPr>
                <w:sz w:val="22"/>
              </w:rPr>
              <w:t xml:space="preserve">(+) </w:t>
            </w:r>
            <w:r w:rsidR="000A1958" w:rsidRPr="00277E46">
              <w:rPr>
                <w:sz w:val="22"/>
              </w:rPr>
              <w:t>x3</w:t>
            </w:r>
          </w:p>
          <w:p w14:paraId="7A48128B" w14:textId="77777777" w:rsidR="000A1958" w:rsidRPr="00277E46" w:rsidRDefault="000632A2" w:rsidP="00FF131D">
            <w:pPr>
              <w:tabs>
                <w:tab w:val="center" w:pos="1520"/>
              </w:tabs>
              <w:spacing w:line="240" w:lineRule="auto"/>
              <w:jc w:val="left"/>
              <w:rPr>
                <w:sz w:val="22"/>
              </w:rPr>
            </w:pPr>
            <w:r w:rsidRPr="00277E46">
              <w:rPr>
                <w:sz w:val="22"/>
              </w:rPr>
              <w:t>Entente</w:t>
            </w:r>
            <w:r w:rsidR="00FF131D" w:rsidRPr="00277E46">
              <w:rPr>
                <w:sz w:val="22"/>
              </w:rPr>
              <w:t xml:space="preserve"> </w:t>
            </w:r>
            <w:r w:rsidRPr="00277E46">
              <w:rPr>
                <w:sz w:val="22"/>
              </w:rPr>
              <w:t>(+)</w:t>
            </w:r>
            <w:r w:rsidR="000A1958" w:rsidRPr="00277E46">
              <w:rPr>
                <w:sz w:val="22"/>
              </w:rPr>
              <w:t xml:space="preserve"> x2</w:t>
            </w:r>
          </w:p>
          <w:p w14:paraId="39FC4AD8" w14:textId="77777777" w:rsidR="000632A2" w:rsidRPr="00277E46" w:rsidRDefault="000632A2" w:rsidP="00FF131D">
            <w:pPr>
              <w:tabs>
                <w:tab w:val="center" w:pos="1520"/>
              </w:tabs>
              <w:spacing w:line="240" w:lineRule="auto"/>
              <w:jc w:val="left"/>
              <w:rPr>
                <w:sz w:val="22"/>
              </w:rPr>
            </w:pPr>
            <w:r w:rsidRPr="00277E46">
              <w:rPr>
                <w:sz w:val="22"/>
              </w:rPr>
              <w:t>Force</w:t>
            </w:r>
            <w:r w:rsidR="00FF131D" w:rsidRPr="00277E46">
              <w:rPr>
                <w:sz w:val="22"/>
              </w:rPr>
              <w:t xml:space="preserve"> </w:t>
            </w:r>
            <w:r w:rsidRPr="00277E46">
              <w:rPr>
                <w:sz w:val="22"/>
              </w:rPr>
              <w:t>(+)</w:t>
            </w:r>
            <w:r w:rsidR="000A1958" w:rsidRPr="00277E46">
              <w:rPr>
                <w:sz w:val="22"/>
              </w:rPr>
              <w:t xml:space="preserve"> x2</w:t>
            </w:r>
          </w:p>
          <w:p w14:paraId="1ED00D1F" w14:textId="77777777" w:rsidR="000632A2" w:rsidRPr="00277E46" w:rsidRDefault="000632A2" w:rsidP="00FF131D">
            <w:pPr>
              <w:tabs>
                <w:tab w:val="center" w:pos="1520"/>
              </w:tabs>
              <w:spacing w:line="240" w:lineRule="auto"/>
              <w:jc w:val="left"/>
              <w:rPr>
                <w:sz w:val="22"/>
              </w:rPr>
            </w:pPr>
            <w:r w:rsidRPr="00277E46">
              <w:rPr>
                <w:sz w:val="22"/>
              </w:rPr>
              <w:t>Solidarité</w:t>
            </w:r>
            <w:r w:rsidR="00FF131D" w:rsidRPr="00277E46">
              <w:rPr>
                <w:sz w:val="22"/>
              </w:rPr>
              <w:t xml:space="preserve"> </w:t>
            </w:r>
            <w:r w:rsidRPr="00277E46">
              <w:rPr>
                <w:sz w:val="22"/>
              </w:rPr>
              <w:t>(+) Ouverture</w:t>
            </w:r>
            <w:r w:rsidR="00FF131D" w:rsidRPr="00277E46">
              <w:rPr>
                <w:sz w:val="22"/>
              </w:rPr>
              <w:t xml:space="preserve"> </w:t>
            </w:r>
            <w:r w:rsidRPr="00277E46">
              <w:rPr>
                <w:sz w:val="22"/>
              </w:rPr>
              <w:t>(+)</w:t>
            </w:r>
          </w:p>
        </w:tc>
        <w:tc>
          <w:tcPr>
            <w:tcW w:w="1701" w:type="dxa"/>
          </w:tcPr>
          <w:p w14:paraId="2E943122" w14:textId="77777777" w:rsidR="000632A2" w:rsidRPr="00277E46" w:rsidRDefault="000632A2" w:rsidP="00FF131D">
            <w:pPr>
              <w:spacing w:line="240" w:lineRule="auto"/>
              <w:jc w:val="left"/>
              <w:rPr>
                <w:sz w:val="22"/>
              </w:rPr>
            </w:pPr>
            <w:r w:rsidRPr="00277E46">
              <w:rPr>
                <w:sz w:val="22"/>
              </w:rPr>
              <w:t>Territoire</w:t>
            </w:r>
            <w:r w:rsidR="00FF131D" w:rsidRPr="00277E46">
              <w:rPr>
                <w:sz w:val="22"/>
              </w:rPr>
              <w:t xml:space="preserve"> </w:t>
            </w:r>
            <w:r w:rsidRPr="00277E46">
              <w:rPr>
                <w:sz w:val="22"/>
              </w:rPr>
              <w:t>(-)</w:t>
            </w:r>
          </w:p>
          <w:p w14:paraId="062DBB26" w14:textId="77777777" w:rsidR="000632A2" w:rsidRPr="00277E46" w:rsidRDefault="000632A2" w:rsidP="00FF131D">
            <w:pPr>
              <w:spacing w:line="240" w:lineRule="auto"/>
              <w:jc w:val="left"/>
              <w:rPr>
                <w:sz w:val="22"/>
              </w:rPr>
            </w:pPr>
            <w:r w:rsidRPr="00277E46">
              <w:rPr>
                <w:sz w:val="22"/>
              </w:rPr>
              <w:t>Financier</w:t>
            </w:r>
            <w:r w:rsidR="00FF131D" w:rsidRPr="00277E46">
              <w:rPr>
                <w:sz w:val="22"/>
              </w:rPr>
              <w:t xml:space="preserve"> </w:t>
            </w:r>
            <w:r w:rsidRPr="00277E46">
              <w:rPr>
                <w:sz w:val="22"/>
              </w:rPr>
              <w:t>(++/-)</w:t>
            </w:r>
            <w:r w:rsidR="00FF131D" w:rsidRPr="00277E46">
              <w:rPr>
                <w:sz w:val="22"/>
              </w:rPr>
              <w:t xml:space="preserve"> x3</w:t>
            </w:r>
          </w:p>
          <w:p w14:paraId="23715375" w14:textId="77777777" w:rsidR="000632A2" w:rsidRPr="00277E46" w:rsidRDefault="000632A2" w:rsidP="00FF131D">
            <w:pPr>
              <w:spacing w:line="240" w:lineRule="auto"/>
              <w:jc w:val="left"/>
              <w:rPr>
                <w:sz w:val="22"/>
              </w:rPr>
            </w:pPr>
            <w:r w:rsidRPr="00277E46">
              <w:rPr>
                <w:sz w:val="22"/>
              </w:rPr>
              <w:t>Concurrence (+)</w:t>
            </w:r>
          </w:p>
          <w:p w14:paraId="4D9B8140" w14:textId="77777777" w:rsidR="000632A2" w:rsidRPr="00277E46" w:rsidRDefault="000632A2" w:rsidP="00FF131D">
            <w:pPr>
              <w:spacing w:line="240" w:lineRule="auto"/>
              <w:jc w:val="left"/>
              <w:rPr>
                <w:sz w:val="22"/>
              </w:rPr>
            </w:pPr>
            <w:r w:rsidRPr="00277E46">
              <w:rPr>
                <w:sz w:val="22"/>
              </w:rPr>
              <w:t>Business (+)</w:t>
            </w:r>
          </w:p>
          <w:p w14:paraId="61BA549B" w14:textId="77777777" w:rsidR="000632A2" w:rsidRPr="00277E46" w:rsidRDefault="000632A2" w:rsidP="00FF131D">
            <w:pPr>
              <w:spacing w:line="240" w:lineRule="auto"/>
              <w:jc w:val="left"/>
              <w:rPr>
                <w:sz w:val="22"/>
              </w:rPr>
            </w:pPr>
            <w:r w:rsidRPr="00277E46">
              <w:rPr>
                <w:sz w:val="22"/>
              </w:rPr>
              <w:t>Risques (-)</w:t>
            </w:r>
          </w:p>
          <w:p w14:paraId="444CAEC7" w14:textId="77777777" w:rsidR="000632A2" w:rsidRPr="00277E46" w:rsidRDefault="000632A2" w:rsidP="00FF131D">
            <w:pPr>
              <w:spacing w:line="240" w:lineRule="auto"/>
              <w:jc w:val="left"/>
              <w:rPr>
                <w:sz w:val="22"/>
              </w:rPr>
            </w:pPr>
            <w:r w:rsidRPr="00277E46">
              <w:rPr>
                <w:sz w:val="22"/>
              </w:rPr>
              <w:t>Cluster (+)</w:t>
            </w:r>
          </w:p>
          <w:p w14:paraId="4CD9D46B" w14:textId="77777777" w:rsidR="000632A2" w:rsidRPr="00277E46" w:rsidRDefault="000632A2" w:rsidP="00FF131D">
            <w:pPr>
              <w:spacing w:line="240" w:lineRule="auto"/>
              <w:jc w:val="left"/>
              <w:rPr>
                <w:sz w:val="22"/>
              </w:rPr>
            </w:pPr>
          </w:p>
        </w:tc>
        <w:tc>
          <w:tcPr>
            <w:tcW w:w="1979" w:type="dxa"/>
          </w:tcPr>
          <w:p w14:paraId="5BB6FBB0" w14:textId="77777777" w:rsidR="000632A2" w:rsidRPr="00277E46" w:rsidRDefault="000632A2" w:rsidP="00FF131D">
            <w:pPr>
              <w:spacing w:line="240" w:lineRule="auto"/>
              <w:jc w:val="left"/>
              <w:rPr>
                <w:sz w:val="22"/>
              </w:rPr>
            </w:pPr>
            <w:r w:rsidRPr="00277E46">
              <w:rPr>
                <w:sz w:val="22"/>
              </w:rPr>
              <w:t xml:space="preserve"> Amitiés (+)</w:t>
            </w:r>
          </w:p>
          <w:p w14:paraId="15E28195" w14:textId="77777777" w:rsidR="000632A2" w:rsidRPr="00277E46" w:rsidRDefault="000632A2" w:rsidP="00FF131D">
            <w:pPr>
              <w:spacing w:line="240" w:lineRule="auto"/>
              <w:jc w:val="left"/>
              <w:rPr>
                <w:sz w:val="22"/>
              </w:rPr>
            </w:pPr>
            <w:r w:rsidRPr="00277E46">
              <w:rPr>
                <w:sz w:val="22"/>
              </w:rPr>
              <w:t>Sentiments (+)</w:t>
            </w:r>
          </w:p>
          <w:p w14:paraId="2D91E129" w14:textId="77777777" w:rsidR="000632A2" w:rsidRPr="00277E46" w:rsidRDefault="000632A2" w:rsidP="00FF131D">
            <w:pPr>
              <w:spacing w:line="240" w:lineRule="auto"/>
              <w:jc w:val="left"/>
              <w:rPr>
                <w:sz w:val="22"/>
              </w:rPr>
            </w:pPr>
            <w:r w:rsidRPr="00277E46">
              <w:rPr>
                <w:sz w:val="22"/>
              </w:rPr>
              <w:t>Aventure (+)</w:t>
            </w:r>
          </w:p>
          <w:p w14:paraId="5077A5EE" w14:textId="77777777" w:rsidR="000632A2" w:rsidRPr="00277E46" w:rsidRDefault="000632A2" w:rsidP="00FF131D">
            <w:pPr>
              <w:spacing w:line="240" w:lineRule="auto"/>
              <w:jc w:val="left"/>
              <w:rPr>
                <w:sz w:val="22"/>
              </w:rPr>
            </w:pPr>
            <w:r w:rsidRPr="00277E46">
              <w:rPr>
                <w:sz w:val="22"/>
              </w:rPr>
              <w:t>Consensus (+)</w:t>
            </w:r>
          </w:p>
          <w:p w14:paraId="1925729B" w14:textId="77777777" w:rsidR="000632A2" w:rsidRPr="00277E46" w:rsidRDefault="000632A2" w:rsidP="00FF131D">
            <w:pPr>
              <w:spacing w:line="240" w:lineRule="auto"/>
              <w:jc w:val="left"/>
              <w:rPr>
                <w:sz w:val="22"/>
              </w:rPr>
            </w:pPr>
            <w:r w:rsidRPr="00277E46">
              <w:rPr>
                <w:sz w:val="22"/>
              </w:rPr>
              <w:t>Conflits (-)</w:t>
            </w:r>
          </w:p>
          <w:p w14:paraId="4CAA614D" w14:textId="77777777" w:rsidR="000632A2" w:rsidRPr="00277E46" w:rsidRDefault="000632A2" w:rsidP="00FF131D">
            <w:pPr>
              <w:spacing w:line="240" w:lineRule="auto"/>
              <w:jc w:val="left"/>
              <w:rPr>
                <w:sz w:val="22"/>
              </w:rPr>
            </w:pPr>
            <w:r w:rsidRPr="00277E46">
              <w:rPr>
                <w:sz w:val="22"/>
              </w:rPr>
              <w:t>Proximité (+)</w:t>
            </w:r>
          </w:p>
        </w:tc>
      </w:tr>
      <w:tr w:rsidR="00277E46" w:rsidRPr="00277E46" w14:paraId="44B465BC" w14:textId="77777777" w:rsidTr="00983721">
        <w:tc>
          <w:tcPr>
            <w:tcW w:w="1242" w:type="dxa"/>
          </w:tcPr>
          <w:p w14:paraId="539CC447" w14:textId="6A1FCF63" w:rsidR="00983721" w:rsidRPr="00277E46" w:rsidRDefault="000632A2" w:rsidP="000632A2">
            <w:pPr>
              <w:spacing w:line="240" w:lineRule="auto"/>
              <w:jc w:val="left"/>
              <w:rPr>
                <w:sz w:val="22"/>
              </w:rPr>
            </w:pPr>
            <w:r w:rsidRPr="00277E46">
              <w:rPr>
                <w:sz w:val="22"/>
              </w:rPr>
              <w:t xml:space="preserve">Total </w:t>
            </w:r>
            <w:r w:rsidR="008061CE" w:rsidRPr="00277E46">
              <w:rPr>
                <w:sz w:val="22"/>
              </w:rPr>
              <w:t>(+/ -)</w:t>
            </w:r>
          </w:p>
        </w:tc>
        <w:tc>
          <w:tcPr>
            <w:tcW w:w="2155" w:type="dxa"/>
          </w:tcPr>
          <w:p w14:paraId="0DE2E714" w14:textId="42407896" w:rsidR="00983721" w:rsidRPr="00277E46" w:rsidRDefault="000632A2" w:rsidP="008061CE">
            <w:pPr>
              <w:spacing w:line="240" w:lineRule="auto"/>
              <w:jc w:val="center"/>
              <w:rPr>
                <w:sz w:val="22"/>
              </w:rPr>
            </w:pPr>
            <w:r w:rsidRPr="00277E46">
              <w:rPr>
                <w:sz w:val="22"/>
              </w:rPr>
              <w:t>17</w:t>
            </w:r>
            <w:r w:rsidR="008061CE" w:rsidRPr="00277E46">
              <w:rPr>
                <w:sz w:val="22"/>
              </w:rPr>
              <w:t xml:space="preserve"> (14 / 3)</w:t>
            </w:r>
          </w:p>
        </w:tc>
        <w:tc>
          <w:tcPr>
            <w:tcW w:w="1985" w:type="dxa"/>
          </w:tcPr>
          <w:p w14:paraId="0A938156" w14:textId="7F1F885F" w:rsidR="00983721" w:rsidRPr="00277E46" w:rsidRDefault="00B56630" w:rsidP="008061CE">
            <w:pPr>
              <w:spacing w:line="240" w:lineRule="auto"/>
              <w:jc w:val="center"/>
              <w:rPr>
                <w:sz w:val="22"/>
              </w:rPr>
            </w:pPr>
            <w:r w:rsidRPr="00277E46">
              <w:rPr>
                <w:sz w:val="22"/>
              </w:rPr>
              <w:t>18</w:t>
            </w:r>
            <w:r w:rsidR="008061CE" w:rsidRPr="00277E46">
              <w:rPr>
                <w:sz w:val="22"/>
              </w:rPr>
              <w:t xml:space="preserve"> (18 / 0)</w:t>
            </w:r>
          </w:p>
        </w:tc>
        <w:tc>
          <w:tcPr>
            <w:tcW w:w="1701" w:type="dxa"/>
          </w:tcPr>
          <w:p w14:paraId="313E3D1B" w14:textId="5611A98B" w:rsidR="00983721" w:rsidRPr="00277E46" w:rsidRDefault="000632A2" w:rsidP="008061CE">
            <w:pPr>
              <w:spacing w:line="240" w:lineRule="auto"/>
              <w:jc w:val="center"/>
              <w:rPr>
                <w:sz w:val="22"/>
              </w:rPr>
            </w:pPr>
            <w:r w:rsidRPr="00277E46">
              <w:rPr>
                <w:sz w:val="22"/>
              </w:rPr>
              <w:t>8</w:t>
            </w:r>
            <w:r w:rsidR="008061CE" w:rsidRPr="00277E46">
              <w:rPr>
                <w:sz w:val="22"/>
              </w:rPr>
              <w:t xml:space="preserve"> (5 / 3)</w:t>
            </w:r>
          </w:p>
        </w:tc>
        <w:tc>
          <w:tcPr>
            <w:tcW w:w="1979" w:type="dxa"/>
          </w:tcPr>
          <w:p w14:paraId="0FDDA29F" w14:textId="706F4B66" w:rsidR="00983721" w:rsidRPr="00277E46" w:rsidRDefault="000632A2" w:rsidP="008061CE">
            <w:pPr>
              <w:spacing w:line="240" w:lineRule="auto"/>
              <w:jc w:val="center"/>
              <w:rPr>
                <w:sz w:val="22"/>
              </w:rPr>
            </w:pPr>
            <w:r w:rsidRPr="00277E46">
              <w:rPr>
                <w:sz w:val="22"/>
              </w:rPr>
              <w:t>6</w:t>
            </w:r>
            <w:r w:rsidR="008061CE" w:rsidRPr="00277E46">
              <w:rPr>
                <w:sz w:val="22"/>
              </w:rPr>
              <w:t xml:space="preserve"> (5 / 1)</w:t>
            </w:r>
          </w:p>
        </w:tc>
      </w:tr>
      <w:tr w:rsidR="00277E46" w:rsidRPr="00277E46" w14:paraId="0942C036" w14:textId="77777777" w:rsidTr="000632A2">
        <w:tc>
          <w:tcPr>
            <w:tcW w:w="9062" w:type="dxa"/>
            <w:gridSpan w:val="5"/>
            <w:shd w:val="clear" w:color="auto" w:fill="BFBFBF" w:themeFill="background1" w:themeFillShade="BF"/>
            <w:vAlign w:val="center"/>
          </w:tcPr>
          <w:p w14:paraId="57AFAB12" w14:textId="77777777" w:rsidR="000632A2" w:rsidRPr="00277E46" w:rsidRDefault="000632A2" w:rsidP="000632A2">
            <w:pPr>
              <w:spacing w:line="240" w:lineRule="auto"/>
              <w:jc w:val="center"/>
              <w:rPr>
                <w:sz w:val="22"/>
              </w:rPr>
            </w:pPr>
            <w:r w:rsidRPr="00277E46">
              <w:rPr>
                <w:sz w:val="22"/>
              </w:rPr>
              <w:t>IFSO Vichy</w:t>
            </w:r>
          </w:p>
        </w:tc>
      </w:tr>
      <w:tr w:rsidR="00277E46" w:rsidRPr="00277E46" w14:paraId="46D91C53" w14:textId="77777777" w:rsidTr="00983721">
        <w:tc>
          <w:tcPr>
            <w:tcW w:w="1242" w:type="dxa"/>
            <w:vAlign w:val="center"/>
          </w:tcPr>
          <w:p w14:paraId="60D495F5" w14:textId="29AA30CF" w:rsidR="000A1958" w:rsidRPr="00277E46" w:rsidRDefault="000A1958" w:rsidP="00DF09AD">
            <w:pPr>
              <w:tabs>
                <w:tab w:val="center" w:pos="1520"/>
              </w:tabs>
              <w:spacing w:line="240" w:lineRule="auto"/>
              <w:jc w:val="left"/>
              <w:rPr>
                <w:sz w:val="22"/>
              </w:rPr>
            </w:pPr>
            <w:r w:rsidRPr="00277E46">
              <w:rPr>
                <w:sz w:val="22"/>
              </w:rPr>
              <w:t xml:space="preserve">Mots </w:t>
            </w:r>
            <w:r w:rsidR="00DF09AD" w:rsidRPr="00277E46">
              <w:rPr>
                <w:sz w:val="22"/>
              </w:rPr>
              <w:t>collectés</w:t>
            </w:r>
          </w:p>
        </w:tc>
        <w:tc>
          <w:tcPr>
            <w:tcW w:w="2155" w:type="dxa"/>
          </w:tcPr>
          <w:p w14:paraId="5689B6A3" w14:textId="77777777" w:rsidR="000A1958" w:rsidRPr="00277E46" w:rsidRDefault="000A1958" w:rsidP="000A1958">
            <w:pPr>
              <w:spacing w:line="240" w:lineRule="auto"/>
              <w:jc w:val="left"/>
              <w:rPr>
                <w:sz w:val="22"/>
              </w:rPr>
            </w:pPr>
            <w:r w:rsidRPr="00277E46">
              <w:rPr>
                <w:sz w:val="22"/>
              </w:rPr>
              <w:t>Leader (+)</w:t>
            </w:r>
          </w:p>
          <w:p w14:paraId="7C3074DC" w14:textId="77777777" w:rsidR="000A1958" w:rsidRPr="00277E46" w:rsidRDefault="000A1958" w:rsidP="000A1958">
            <w:pPr>
              <w:spacing w:line="240" w:lineRule="auto"/>
              <w:jc w:val="left"/>
              <w:rPr>
                <w:sz w:val="22"/>
              </w:rPr>
            </w:pPr>
            <w:r w:rsidRPr="00277E46">
              <w:rPr>
                <w:sz w:val="22"/>
              </w:rPr>
              <w:t>Convivialité (+)</w:t>
            </w:r>
          </w:p>
          <w:p w14:paraId="6A002078" w14:textId="77777777" w:rsidR="000A1958" w:rsidRPr="00277E46" w:rsidRDefault="000A1958" w:rsidP="000A1958">
            <w:pPr>
              <w:spacing w:line="240" w:lineRule="auto"/>
              <w:jc w:val="left"/>
              <w:rPr>
                <w:sz w:val="22"/>
              </w:rPr>
            </w:pPr>
            <w:r w:rsidRPr="00277E46">
              <w:rPr>
                <w:sz w:val="22"/>
              </w:rPr>
              <w:t xml:space="preserve">Équipe (+) </w:t>
            </w:r>
          </w:p>
          <w:p w14:paraId="21EA81DF" w14:textId="77777777" w:rsidR="000A1958" w:rsidRPr="00277E46" w:rsidRDefault="000A1958" w:rsidP="000A1958">
            <w:pPr>
              <w:spacing w:line="240" w:lineRule="auto"/>
              <w:jc w:val="left"/>
              <w:rPr>
                <w:sz w:val="22"/>
              </w:rPr>
            </w:pPr>
            <w:r w:rsidRPr="00277E46">
              <w:rPr>
                <w:sz w:val="22"/>
              </w:rPr>
              <w:t>Réflexion (+)</w:t>
            </w:r>
          </w:p>
          <w:p w14:paraId="3C851F87" w14:textId="77777777" w:rsidR="000A1958" w:rsidRPr="00277E46" w:rsidRDefault="000A1958" w:rsidP="000A1958">
            <w:pPr>
              <w:spacing w:line="240" w:lineRule="auto"/>
              <w:jc w:val="left"/>
              <w:rPr>
                <w:sz w:val="22"/>
              </w:rPr>
            </w:pPr>
            <w:r w:rsidRPr="00277E46">
              <w:rPr>
                <w:sz w:val="22"/>
              </w:rPr>
              <w:t>Contraintes (-)</w:t>
            </w:r>
          </w:p>
          <w:p w14:paraId="5A175DE0" w14:textId="77777777" w:rsidR="000A1958" w:rsidRPr="00277E46" w:rsidRDefault="000A1958" w:rsidP="000A1958">
            <w:pPr>
              <w:spacing w:line="240" w:lineRule="auto"/>
              <w:jc w:val="left"/>
              <w:rPr>
                <w:sz w:val="22"/>
              </w:rPr>
            </w:pPr>
            <w:r w:rsidRPr="00277E46">
              <w:rPr>
                <w:sz w:val="22"/>
              </w:rPr>
              <w:t>Compromis (-)</w:t>
            </w:r>
          </w:p>
          <w:p w14:paraId="4D79406D" w14:textId="77777777" w:rsidR="000A1958" w:rsidRPr="00277E46" w:rsidRDefault="000A1958" w:rsidP="000A1958">
            <w:pPr>
              <w:spacing w:line="240" w:lineRule="auto"/>
              <w:jc w:val="left"/>
              <w:rPr>
                <w:sz w:val="22"/>
              </w:rPr>
            </w:pPr>
            <w:r w:rsidRPr="00277E46">
              <w:rPr>
                <w:sz w:val="22"/>
              </w:rPr>
              <w:t>Convaincre (-)</w:t>
            </w:r>
          </w:p>
          <w:p w14:paraId="3FA97E93" w14:textId="77777777" w:rsidR="000A1958" w:rsidRPr="00277E46" w:rsidRDefault="000A1958" w:rsidP="000A1958">
            <w:pPr>
              <w:spacing w:line="240" w:lineRule="auto"/>
              <w:jc w:val="left"/>
              <w:rPr>
                <w:sz w:val="22"/>
              </w:rPr>
            </w:pPr>
            <w:r w:rsidRPr="00277E46">
              <w:rPr>
                <w:sz w:val="22"/>
              </w:rPr>
              <w:t>Faiblesse (-)</w:t>
            </w:r>
          </w:p>
          <w:p w14:paraId="6469933C" w14:textId="77777777" w:rsidR="000A1958" w:rsidRPr="00277E46" w:rsidRDefault="000A1958" w:rsidP="000A1958">
            <w:pPr>
              <w:spacing w:line="240" w:lineRule="auto"/>
              <w:jc w:val="left"/>
              <w:rPr>
                <w:sz w:val="22"/>
              </w:rPr>
            </w:pPr>
            <w:r w:rsidRPr="00277E46">
              <w:rPr>
                <w:sz w:val="22"/>
              </w:rPr>
              <w:t>Séparation (-)</w:t>
            </w:r>
          </w:p>
          <w:p w14:paraId="414249BA" w14:textId="77777777" w:rsidR="000A1958" w:rsidRPr="00277E46" w:rsidRDefault="000A1958" w:rsidP="000A1958">
            <w:pPr>
              <w:spacing w:line="240" w:lineRule="auto"/>
              <w:jc w:val="left"/>
              <w:rPr>
                <w:sz w:val="22"/>
              </w:rPr>
            </w:pPr>
            <w:r w:rsidRPr="00277E46">
              <w:rPr>
                <w:sz w:val="22"/>
              </w:rPr>
              <w:t>Chef (-)</w:t>
            </w:r>
          </w:p>
          <w:p w14:paraId="271331C0" w14:textId="77777777" w:rsidR="000A1958" w:rsidRPr="00277E46" w:rsidRDefault="000A1958" w:rsidP="000A1958">
            <w:pPr>
              <w:spacing w:line="240" w:lineRule="auto"/>
              <w:jc w:val="left"/>
              <w:rPr>
                <w:sz w:val="22"/>
              </w:rPr>
            </w:pPr>
            <w:r w:rsidRPr="00277E46">
              <w:rPr>
                <w:sz w:val="22"/>
              </w:rPr>
              <w:t>Décision (-)</w:t>
            </w:r>
          </w:p>
        </w:tc>
        <w:tc>
          <w:tcPr>
            <w:tcW w:w="1985" w:type="dxa"/>
          </w:tcPr>
          <w:p w14:paraId="266849AD" w14:textId="77777777" w:rsidR="000A1958" w:rsidRPr="00277E46" w:rsidRDefault="000A1958" w:rsidP="000A1958">
            <w:pPr>
              <w:tabs>
                <w:tab w:val="center" w:pos="1520"/>
              </w:tabs>
              <w:spacing w:line="240" w:lineRule="auto"/>
              <w:jc w:val="left"/>
              <w:rPr>
                <w:sz w:val="22"/>
              </w:rPr>
            </w:pPr>
            <w:r w:rsidRPr="00277E46">
              <w:rPr>
                <w:sz w:val="22"/>
              </w:rPr>
              <w:t>Partage (+) x3</w:t>
            </w:r>
          </w:p>
          <w:p w14:paraId="09DF2ACC" w14:textId="77777777" w:rsidR="000A1958" w:rsidRPr="00277E46" w:rsidRDefault="000A1958" w:rsidP="000A1958">
            <w:pPr>
              <w:tabs>
                <w:tab w:val="center" w:pos="1520"/>
              </w:tabs>
              <w:spacing w:line="240" w:lineRule="auto"/>
              <w:jc w:val="left"/>
              <w:rPr>
                <w:sz w:val="22"/>
              </w:rPr>
            </w:pPr>
            <w:r w:rsidRPr="00277E46">
              <w:rPr>
                <w:sz w:val="22"/>
              </w:rPr>
              <w:t>Entraide (+) x3</w:t>
            </w:r>
          </w:p>
          <w:p w14:paraId="51798962" w14:textId="77777777" w:rsidR="000A1958" w:rsidRPr="00277E46" w:rsidRDefault="000A1958" w:rsidP="000A1958">
            <w:pPr>
              <w:tabs>
                <w:tab w:val="center" w:pos="1520"/>
              </w:tabs>
              <w:spacing w:line="240" w:lineRule="auto"/>
              <w:jc w:val="left"/>
              <w:rPr>
                <w:sz w:val="22"/>
              </w:rPr>
            </w:pPr>
            <w:r w:rsidRPr="00277E46">
              <w:rPr>
                <w:sz w:val="22"/>
              </w:rPr>
              <w:t>Valeurs (+)</w:t>
            </w:r>
          </w:p>
          <w:p w14:paraId="3E985410" w14:textId="77777777" w:rsidR="000A1958" w:rsidRPr="00277E46" w:rsidRDefault="000A1958" w:rsidP="000A1958">
            <w:pPr>
              <w:tabs>
                <w:tab w:val="center" w:pos="1520"/>
              </w:tabs>
              <w:spacing w:line="240" w:lineRule="auto"/>
              <w:jc w:val="left"/>
              <w:rPr>
                <w:sz w:val="22"/>
              </w:rPr>
            </w:pPr>
            <w:r w:rsidRPr="00277E46">
              <w:rPr>
                <w:sz w:val="22"/>
              </w:rPr>
              <w:t>Force (+)</w:t>
            </w:r>
          </w:p>
          <w:p w14:paraId="74DDAD05" w14:textId="77777777" w:rsidR="000A1958" w:rsidRPr="00277E46" w:rsidRDefault="000A1958" w:rsidP="000A1958">
            <w:pPr>
              <w:tabs>
                <w:tab w:val="center" w:pos="1520"/>
              </w:tabs>
              <w:spacing w:line="240" w:lineRule="auto"/>
              <w:jc w:val="left"/>
              <w:rPr>
                <w:sz w:val="22"/>
              </w:rPr>
            </w:pPr>
            <w:r w:rsidRPr="00277E46">
              <w:rPr>
                <w:sz w:val="22"/>
              </w:rPr>
              <w:t>Soutien (+)</w:t>
            </w:r>
          </w:p>
          <w:p w14:paraId="77439665" w14:textId="77777777" w:rsidR="000A1958" w:rsidRPr="00277E46" w:rsidRDefault="000A1958" w:rsidP="000A1958">
            <w:pPr>
              <w:tabs>
                <w:tab w:val="center" w:pos="1520"/>
              </w:tabs>
              <w:spacing w:line="240" w:lineRule="auto"/>
              <w:jc w:val="left"/>
              <w:rPr>
                <w:sz w:val="22"/>
              </w:rPr>
            </w:pPr>
            <w:r w:rsidRPr="00277E46">
              <w:rPr>
                <w:sz w:val="22"/>
              </w:rPr>
              <w:t>Tolérance (-)</w:t>
            </w:r>
          </w:p>
          <w:p w14:paraId="76ED8B03" w14:textId="77777777" w:rsidR="000A1958" w:rsidRPr="00277E46" w:rsidRDefault="000A1958" w:rsidP="000A1958">
            <w:pPr>
              <w:tabs>
                <w:tab w:val="center" w:pos="1520"/>
              </w:tabs>
              <w:spacing w:line="240" w:lineRule="auto"/>
              <w:jc w:val="left"/>
              <w:rPr>
                <w:sz w:val="22"/>
              </w:rPr>
            </w:pPr>
          </w:p>
        </w:tc>
        <w:tc>
          <w:tcPr>
            <w:tcW w:w="1701" w:type="dxa"/>
          </w:tcPr>
          <w:p w14:paraId="11FAE8B4" w14:textId="77777777" w:rsidR="000A1958" w:rsidRPr="00277E46" w:rsidRDefault="000A1958" w:rsidP="000A1958">
            <w:pPr>
              <w:spacing w:line="240" w:lineRule="auto"/>
              <w:jc w:val="left"/>
              <w:rPr>
                <w:sz w:val="22"/>
              </w:rPr>
            </w:pPr>
            <w:r w:rsidRPr="00277E46">
              <w:rPr>
                <w:sz w:val="22"/>
              </w:rPr>
              <w:t>Construction (+) x2</w:t>
            </w:r>
          </w:p>
          <w:p w14:paraId="61BE098B" w14:textId="77777777" w:rsidR="000A1958" w:rsidRPr="00277E46" w:rsidRDefault="000A1958" w:rsidP="000A1958">
            <w:pPr>
              <w:spacing w:line="240" w:lineRule="auto"/>
              <w:jc w:val="left"/>
              <w:rPr>
                <w:sz w:val="22"/>
              </w:rPr>
            </w:pPr>
            <w:r w:rsidRPr="00277E46">
              <w:rPr>
                <w:sz w:val="22"/>
              </w:rPr>
              <w:t>Développement (+)</w:t>
            </w:r>
          </w:p>
          <w:p w14:paraId="528116A0" w14:textId="77777777" w:rsidR="000A1958" w:rsidRPr="00277E46" w:rsidRDefault="000A1958" w:rsidP="000A1958">
            <w:pPr>
              <w:spacing w:line="240" w:lineRule="auto"/>
              <w:jc w:val="left"/>
              <w:rPr>
                <w:sz w:val="22"/>
              </w:rPr>
            </w:pPr>
            <w:r w:rsidRPr="00277E46">
              <w:rPr>
                <w:sz w:val="22"/>
              </w:rPr>
              <w:t>Croissance (+)</w:t>
            </w:r>
          </w:p>
          <w:p w14:paraId="3D4DDF01" w14:textId="77777777" w:rsidR="000A1958" w:rsidRPr="00277E46" w:rsidRDefault="000A1958" w:rsidP="000A1958">
            <w:pPr>
              <w:spacing w:line="240" w:lineRule="auto"/>
              <w:jc w:val="left"/>
              <w:rPr>
                <w:sz w:val="22"/>
              </w:rPr>
            </w:pPr>
            <w:r w:rsidRPr="00277E46">
              <w:rPr>
                <w:sz w:val="22"/>
              </w:rPr>
              <w:t>Objectif (+)</w:t>
            </w:r>
          </w:p>
          <w:p w14:paraId="6F70EBE6" w14:textId="77777777" w:rsidR="000A1958" w:rsidRPr="00277E46" w:rsidRDefault="000A1958" w:rsidP="000A1958">
            <w:pPr>
              <w:spacing w:line="240" w:lineRule="auto"/>
              <w:jc w:val="left"/>
              <w:rPr>
                <w:sz w:val="22"/>
              </w:rPr>
            </w:pPr>
            <w:r w:rsidRPr="00277E46">
              <w:rPr>
                <w:sz w:val="22"/>
              </w:rPr>
              <w:t>Investissement (-)</w:t>
            </w:r>
          </w:p>
          <w:p w14:paraId="5A16BBC8" w14:textId="77777777" w:rsidR="000A1958" w:rsidRPr="00277E46" w:rsidRDefault="000A1958" w:rsidP="000A1958">
            <w:pPr>
              <w:spacing w:line="240" w:lineRule="auto"/>
              <w:jc w:val="left"/>
              <w:rPr>
                <w:sz w:val="22"/>
              </w:rPr>
            </w:pPr>
            <w:r w:rsidRPr="00277E46">
              <w:rPr>
                <w:sz w:val="22"/>
              </w:rPr>
              <w:t>Freins (-)</w:t>
            </w:r>
          </w:p>
          <w:p w14:paraId="352ED0C8" w14:textId="77777777" w:rsidR="000A1958" w:rsidRPr="00277E46" w:rsidRDefault="000A1958" w:rsidP="000A1958">
            <w:pPr>
              <w:spacing w:line="240" w:lineRule="auto"/>
              <w:jc w:val="left"/>
              <w:rPr>
                <w:sz w:val="22"/>
              </w:rPr>
            </w:pPr>
          </w:p>
        </w:tc>
        <w:tc>
          <w:tcPr>
            <w:tcW w:w="1979" w:type="dxa"/>
          </w:tcPr>
          <w:p w14:paraId="600C5C6D" w14:textId="77777777" w:rsidR="000A1958" w:rsidRPr="00277E46" w:rsidRDefault="000A1958" w:rsidP="000A1958">
            <w:pPr>
              <w:spacing w:line="240" w:lineRule="auto"/>
              <w:jc w:val="left"/>
              <w:rPr>
                <w:sz w:val="22"/>
              </w:rPr>
            </w:pPr>
            <w:r w:rsidRPr="00277E46">
              <w:rPr>
                <w:sz w:val="22"/>
              </w:rPr>
              <w:t xml:space="preserve"> Savoirs (+)</w:t>
            </w:r>
          </w:p>
          <w:p w14:paraId="55429E48" w14:textId="77777777" w:rsidR="000A1958" w:rsidRPr="00277E46" w:rsidRDefault="000A1958" w:rsidP="000A1958">
            <w:pPr>
              <w:spacing w:line="240" w:lineRule="auto"/>
              <w:jc w:val="left"/>
              <w:rPr>
                <w:sz w:val="22"/>
              </w:rPr>
            </w:pPr>
            <w:r w:rsidRPr="00277E46">
              <w:rPr>
                <w:sz w:val="22"/>
              </w:rPr>
              <w:t>Recherche (+)</w:t>
            </w:r>
          </w:p>
          <w:p w14:paraId="77BF2471" w14:textId="77777777" w:rsidR="000A1958" w:rsidRPr="00277E46" w:rsidRDefault="000A1958" w:rsidP="000A1958">
            <w:pPr>
              <w:spacing w:line="240" w:lineRule="auto"/>
              <w:jc w:val="left"/>
              <w:rPr>
                <w:sz w:val="22"/>
              </w:rPr>
            </w:pPr>
            <w:r w:rsidRPr="00277E46">
              <w:rPr>
                <w:sz w:val="22"/>
              </w:rPr>
              <w:t>Évolution (+)</w:t>
            </w:r>
          </w:p>
          <w:p w14:paraId="7AE5FFA7" w14:textId="77777777" w:rsidR="000A1958" w:rsidRPr="00277E46" w:rsidRDefault="000A1958" w:rsidP="000A1958">
            <w:pPr>
              <w:spacing w:line="240" w:lineRule="auto"/>
              <w:jc w:val="left"/>
              <w:rPr>
                <w:sz w:val="22"/>
              </w:rPr>
            </w:pPr>
            <w:r w:rsidRPr="00277E46">
              <w:rPr>
                <w:sz w:val="22"/>
              </w:rPr>
              <w:t>Avenir (+)</w:t>
            </w:r>
          </w:p>
          <w:p w14:paraId="648DAC91" w14:textId="77777777" w:rsidR="000A1958" w:rsidRPr="00277E46" w:rsidRDefault="000A1958" w:rsidP="000A1958">
            <w:pPr>
              <w:spacing w:line="240" w:lineRule="auto"/>
              <w:jc w:val="left"/>
              <w:rPr>
                <w:sz w:val="22"/>
              </w:rPr>
            </w:pPr>
            <w:r w:rsidRPr="00277E46">
              <w:rPr>
                <w:sz w:val="22"/>
              </w:rPr>
              <w:t>Qualité (+)</w:t>
            </w:r>
          </w:p>
          <w:p w14:paraId="2A221D1B" w14:textId="77777777" w:rsidR="000A1958" w:rsidRPr="00277E46" w:rsidRDefault="000A1958" w:rsidP="000A1958">
            <w:pPr>
              <w:spacing w:line="240" w:lineRule="auto"/>
              <w:jc w:val="left"/>
              <w:rPr>
                <w:sz w:val="22"/>
              </w:rPr>
            </w:pPr>
            <w:r w:rsidRPr="00277E46">
              <w:rPr>
                <w:sz w:val="22"/>
              </w:rPr>
              <w:t>Diversification (+)</w:t>
            </w:r>
          </w:p>
          <w:p w14:paraId="79C353E5" w14:textId="77777777" w:rsidR="000A1958" w:rsidRPr="00277E46" w:rsidRDefault="000A1958" w:rsidP="000A1958">
            <w:pPr>
              <w:spacing w:line="240" w:lineRule="auto"/>
              <w:jc w:val="left"/>
              <w:rPr>
                <w:sz w:val="22"/>
              </w:rPr>
            </w:pPr>
            <w:r w:rsidRPr="00277E46">
              <w:rPr>
                <w:sz w:val="22"/>
              </w:rPr>
              <w:t>Bilan (+)</w:t>
            </w:r>
          </w:p>
          <w:p w14:paraId="55767625" w14:textId="77777777" w:rsidR="000A1958" w:rsidRPr="00277E46" w:rsidRDefault="000A1958" w:rsidP="000A1958">
            <w:pPr>
              <w:spacing w:line="240" w:lineRule="auto"/>
              <w:jc w:val="left"/>
              <w:rPr>
                <w:sz w:val="22"/>
              </w:rPr>
            </w:pPr>
            <w:r w:rsidRPr="00277E46">
              <w:rPr>
                <w:sz w:val="22"/>
              </w:rPr>
              <w:t>Orientation (-)</w:t>
            </w:r>
          </w:p>
          <w:p w14:paraId="3C9F5052" w14:textId="77777777" w:rsidR="000A1958" w:rsidRPr="00277E46" w:rsidRDefault="000A1958" w:rsidP="000A1958">
            <w:pPr>
              <w:spacing w:line="240" w:lineRule="auto"/>
              <w:jc w:val="left"/>
              <w:rPr>
                <w:sz w:val="22"/>
              </w:rPr>
            </w:pPr>
          </w:p>
        </w:tc>
      </w:tr>
      <w:tr w:rsidR="00277E46" w:rsidRPr="00277E46" w14:paraId="6FE22CC5" w14:textId="77777777" w:rsidTr="00983721">
        <w:tc>
          <w:tcPr>
            <w:tcW w:w="1242" w:type="dxa"/>
          </w:tcPr>
          <w:p w14:paraId="04104F4B" w14:textId="7042BBBC" w:rsidR="00983721" w:rsidRPr="00277E46" w:rsidRDefault="000A1958" w:rsidP="000A1958">
            <w:pPr>
              <w:tabs>
                <w:tab w:val="center" w:pos="1520"/>
              </w:tabs>
              <w:spacing w:line="240" w:lineRule="auto"/>
              <w:jc w:val="left"/>
              <w:rPr>
                <w:sz w:val="22"/>
              </w:rPr>
            </w:pPr>
            <w:r w:rsidRPr="00277E46">
              <w:rPr>
                <w:sz w:val="22"/>
              </w:rPr>
              <w:t>Total</w:t>
            </w:r>
            <w:r w:rsidR="008061CE" w:rsidRPr="00277E46">
              <w:rPr>
                <w:sz w:val="22"/>
              </w:rPr>
              <w:t xml:space="preserve"> (+/ -)</w:t>
            </w:r>
          </w:p>
        </w:tc>
        <w:tc>
          <w:tcPr>
            <w:tcW w:w="2155" w:type="dxa"/>
          </w:tcPr>
          <w:p w14:paraId="2AA79862" w14:textId="70F303BE" w:rsidR="00983721" w:rsidRPr="00277E46" w:rsidRDefault="000A1958" w:rsidP="00D40A97">
            <w:pPr>
              <w:spacing w:line="240" w:lineRule="auto"/>
              <w:jc w:val="center"/>
              <w:rPr>
                <w:sz w:val="22"/>
              </w:rPr>
            </w:pPr>
            <w:r w:rsidRPr="00277E46">
              <w:rPr>
                <w:sz w:val="22"/>
              </w:rPr>
              <w:t>11</w:t>
            </w:r>
            <w:r w:rsidR="008061CE" w:rsidRPr="00277E46">
              <w:rPr>
                <w:sz w:val="22"/>
              </w:rPr>
              <w:t xml:space="preserve"> (4 / 7)</w:t>
            </w:r>
          </w:p>
        </w:tc>
        <w:tc>
          <w:tcPr>
            <w:tcW w:w="1985" w:type="dxa"/>
          </w:tcPr>
          <w:p w14:paraId="296B7E6F" w14:textId="1567348F" w:rsidR="00983721" w:rsidRPr="00277E46" w:rsidRDefault="000A1958" w:rsidP="00D40A97">
            <w:pPr>
              <w:spacing w:line="240" w:lineRule="auto"/>
              <w:jc w:val="center"/>
              <w:rPr>
                <w:sz w:val="22"/>
              </w:rPr>
            </w:pPr>
            <w:r w:rsidRPr="00277E46">
              <w:rPr>
                <w:sz w:val="22"/>
              </w:rPr>
              <w:t>10</w:t>
            </w:r>
            <w:r w:rsidR="00D40A97" w:rsidRPr="00277E46">
              <w:rPr>
                <w:sz w:val="22"/>
              </w:rPr>
              <w:t xml:space="preserve"> (9 / 1)</w:t>
            </w:r>
          </w:p>
        </w:tc>
        <w:tc>
          <w:tcPr>
            <w:tcW w:w="1701" w:type="dxa"/>
          </w:tcPr>
          <w:p w14:paraId="388BD7B5" w14:textId="4BE5422D" w:rsidR="00983721" w:rsidRPr="00277E46" w:rsidRDefault="000A1958" w:rsidP="00D40A97">
            <w:pPr>
              <w:spacing w:line="240" w:lineRule="auto"/>
              <w:jc w:val="center"/>
              <w:rPr>
                <w:sz w:val="22"/>
              </w:rPr>
            </w:pPr>
            <w:r w:rsidRPr="00277E46">
              <w:rPr>
                <w:sz w:val="22"/>
              </w:rPr>
              <w:t>7</w:t>
            </w:r>
            <w:r w:rsidR="00D40A97" w:rsidRPr="00277E46">
              <w:rPr>
                <w:sz w:val="22"/>
              </w:rPr>
              <w:t xml:space="preserve"> (5 / 2)</w:t>
            </w:r>
          </w:p>
        </w:tc>
        <w:tc>
          <w:tcPr>
            <w:tcW w:w="1979" w:type="dxa"/>
          </w:tcPr>
          <w:p w14:paraId="72097533" w14:textId="4FF7DF3E" w:rsidR="00983721" w:rsidRPr="00277E46" w:rsidRDefault="000A1958" w:rsidP="00D40A97">
            <w:pPr>
              <w:spacing w:line="240" w:lineRule="auto"/>
              <w:jc w:val="center"/>
              <w:rPr>
                <w:sz w:val="22"/>
              </w:rPr>
            </w:pPr>
            <w:r w:rsidRPr="00277E46">
              <w:rPr>
                <w:sz w:val="22"/>
              </w:rPr>
              <w:t>8</w:t>
            </w:r>
            <w:r w:rsidR="00D40A97" w:rsidRPr="00277E46">
              <w:rPr>
                <w:sz w:val="22"/>
              </w:rPr>
              <w:t xml:space="preserve"> (7 / 1)</w:t>
            </w:r>
          </w:p>
        </w:tc>
      </w:tr>
    </w:tbl>
    <w:p w14:paraId="4246DFC8" w14:textId="77777777" w:rsidR="00DF09AD" w:rsidRDefault="00DF09AD" w:rsidP="008061CE"/>
    <w:p w14:paraId="6FA1FD5D" w14:textId="77777777" w:rsidR="00340842" w:rsidRDefault="00D9038A" w:rsidP="00D26FB9">
      <w:pPr>
        <w:pStyle w:val="Titre2"/>
      </w:pPr>
      <w:r>
        <w:lastRenderedPageBreak/>
        <w:t>Principaux enseignements</w:t>
      </w:r>
    </w:p>
    <w:p w14:paraId="3481CD13" w14:textId="77777777" w:rsidR="00D9038A" w:rsidRDefault="00D9038A" w:rsidP="00FA0569">
      <w:r>
        <w:t xml:space="preserve">En triangulant les résultats obtenus par l’analyse prototypique et l’analyse catégorielle avec les entretiens semi-directifs, </w:t>
      </w:r>
      <w:r w:rsidR="005B7E56">
        <w:t xml:space="preserve">les personnels apparaissent plutôt sereins quant au projet </w:t>
      </w:r>
      <w:proofErr w:type="spellStart"/>
      <w:r w:rsidR="005B7E56">
        <w:t>Allios</w:t>
      </w:r>
      <w:proofErr w:type="spellEnd"/>
      <w:r w:rsidR="005B7E56">
        <w:t>. En effet, quel que soit le groupe professionnel ou l’établissement concerné, des attentes positives sont</w:t>
      </w:r>
      <w:r w:rsidR="00C23FAE">
        <w:t xml:space="preserve"> majoritairement</w:t>
      </w:r>
      <w:r w:rsidR="005B7E56">
        <w:t xml:space="preserve"> exprimées : </w:t>
      </w:r>
      <w:r w:rsidR="005B7E56" w:rsidRPr="005B7E56">
        <w:rPr>
          <w:i/>
        </w:rPr>
        <w:t>« échange d’informations avec d’autres collègues confrontés aux mêmes problématiques de poste</w:t>
      </w:r>
      <w:r w:rsidR="005B7E56">
        <w:t xml:space="preserve"> » [O1] ; </w:t>
      </w:r>
      <w:r w:rsidR="00504B0E">
        <w:t>« </w:t>
      </w:r>
      <w:r w:rsidR="00504B0E" w:rsidRPr="00504B0E">
        <w:rPr>
          <w:i/>
        </w:rPr>
        <w:t>ouverture vers les autres systèmes de formation</w:t>
      </w:r>
      <w:r w:rsidR="00504B0E">
        <w:t xml:space="preserve"> » [R3] ; </w:t>
      </w:r>
      <w:r w:rsidR="005B7E56" w:rsidRPr="005B7E56">
        <w:rPr>
          <w:i/>
        </w:rPr>
        <w:t>« mettre en commun des forces ; essayer de grandir ensemble</w:t>
      </w:r>
      <w:r w:rsidR="005B7E56">
        <w:t> » [V2]. Sans surprise, quelques inquiétudes sont également notées, notamment sur les impacts éventuels sur la charge de travail individuelle : « </w:t>
      </w:r>
      <w:r w:rsidR="00504B0E">
        <w:t>s</w:t>
      </w:r>
      <w:r w:rsidR="005B7E56" w:rsidRPr="00504B0E">
        <w:rPr>
          <w:i/>
        </w:rPr>
        <w:t>i ça nécessite plus de temps, je ne sais pas si mon organisation me le permettra</w:t>
      </w:r>
      <w:r w:rsidR="005B7E56">
        <w:t> » [V3] ; « </w:t>
      </w:r>
      <w:r w:rsidR="005B7E56" w:rsidRPr="00504B0E">
        <w:rPr>
          <w:i/>
        </w:rPr>
        <w:t>ça vient me rajouter une charge de travail</w:t>
      </w:r>
      <w:r w:rsidR="005B7E56">
        <w:t> » [V2]</w:t>
      </w:r>
      <w:r w:rsidR="00504B0E">
        <w:t xml:space="preserve"> ou sur la nécessaire clarification du mode de gouvernance de la future entité (« </w:t>
      </w:r>
      <w:r w:rsidR="00504B0E" w:rsidRPr="00504B0E">
        <w:rPr>
          <w:i/>
        </w:rPr>
        <w:t>comment seront prises les futures décisions ?</w:t>
      </w:r>
      <w:r w:rsidR="00504B0E">
        <w:t> » [R1]).</w:t>
      </w:r>
    </w:p>
    <w:p w14:paraId="72A52824" w14:textId="38A6CD65" w:rsidR="00504B0E" w:rsidRDefault="00340842" w:rsidP="00340842">
      <w:r>
        <w:t xml:space="preserve">A l’issue du traitement des informations relatives à l’étude des représentations sociales de l’objet </w:t>
      </w:r>
      <w:r w:rsidR="001F7DAE">
        <w:t>« </w:t>
      </w:r>
      <w:r>
        <w:t>alliance</w:t>
      </w:r>
      <w:r w:rsidR="001F7DAE">
        <w:t> »</w:t>
      </w:r>
      <w:r>
        <w:t xml:space="preserve"> auprès des collaborateurs intervenants au sein des </w:t>
      </w:r>
      <w:r w:rsidR="005B7E56">
        <w:t xml:space="preserve">trois </w:t>
      </w:r>
      <w:r>
        <w:t>instituts</w:t>
      </w:r>
      <w:r w:rsidR="005B7E56">
        <w:t xml:space="preserve"> étudiés,</w:t>
      </w:r>
      <w:r w:rsidR="00C23FAE">
        <w:t xml:space="preserve"> il</w:t>
      </w:r>
      <w:r w:rsidR="00504B0E">
        <w:t xml:space="preserve"> apparait que les attentes, obstacles et représentations ne sont fonction ni du poste occupé, ni du niveau de connaissance que les sujets ont du projet. Les attentes</w:t>
      </w:r>
      <w:r w:rsidR="00277E46">
        <w:t xml:space="preserve"> sont</w:t>
      </w:r>
      <w:r w:rsidR="00504B0E">
        <w:t xml:space="preserve"> d’ailleurs fortes, notamment en matière d’information sur l’état d’avancement du projet et ses modalités de mise en place.</w:t>
      </w:r>
    </w:p>
    <w:p w14:paraId="4501EFE7" w14:textId="5FEFBEB4" w:rsidR="00504B0E" w:rsidRDefault="00122146" w:rsidP="00504B0E">
      <w:r>
        <w:t>De plus</w:t>
      </w:r>
      <w:r w:rsidR="005B7E56">
        <w:t>, n</w:t>
      </w:r>
      <w:r w:rsidR="00340842">
        <w:t>ous constatons une positivité et une stabilité du noyau central commun</w:t>
      </w:r>
      <w:r w:rsidR="00277E46">
        <w:t>e</w:t>
      </w:r>
      <w:r w:rsidR="00340842">
        <w:t>s aux trois instituts.</w:t>
      </w:r>
      <w:r w:rsidR="00504B0E">
        <w:t xml:space="preserve"> Nous n’avons pas identifié de représentations initiales </w:t>
      </w:r>
      <w:r>
        <w:t>négatives</w:t>
      </w:r>
      <w:r w:rsidR="00504B0E">
        <w:t xml:space="preserve"> pouvant potentiellement compromettre le déploiement de la phase opérationnelle du projet. Au contraire, nos résultats ont permis de montrer que les représentations sociales de l’alliance des sujets interrogés étaient majoritairement positives et stables et ne généraient</w:t>
      </w:r>
      <w:r w:rsidR="00C23FAE">
        <w:t xml:space="preserve"> pas,</w:t>
      </w:r>
      <w:r w:rsidR="00504B0E">
        <w:t xml:space="preserve"> dans l’état actuel d’avancée du projet, de tension</w:t>
      </w:r>
      <w:r w:rsidR="00C23FAE">
        <w:t>s</w:t>
      </w:r>
      <w:r>
        <w:t xml:space="preserve"> particulières</w:t>
      </w:r>
      <w:r w:rsidR="00504B0E">
        <w:t xml:space="preserve">. </w:t>
      </w:r>
    </w:p>
    <w:p w14:paraId="765D5073" w14:textId="0F2C93AA" w:rsidR="00340842" w:rsidRDefault="00340842" w:rsidP="00340842">
      <w:r>
        <w:t xml:space="preserve"> Les</w:t>
      </w:r>
      <w:r w:rsidR="005B7E56">
        <w:t xml:space="preserve"> thèmes qui sont partagés sont l</w:t>
      </w:r>
      <w:r>
        <w:t xml:space="preserve">es </w:t>
      </w:r>
      <w:r w:rsidR="005B7E56">
        <w:t>v</w:t>
      </w:r>
      <w:r>
        <w:t>aleurs</w:t>
      </w:r>
      <w:r w:rsidR="005B7E56">
        <w:t>, l</w:t>
      </w:r>
      <w:r>
        <w:t xml:space="preserve">es relations humaines </w:t>
      </w:r>
      <w:r w:rsidR="005B7E56">
        <w:t xml:space="preserve">et les éléments programmatiques. </w:t>
      </w:r>
      <w:r>
        <w:t>Ce sont autant de catégories communes sur lesquelles il faut poser les bases de la construction du GIE.</w:t>
      </w:r>
      <w:r w:rsidR="005B7E56">
        <w:t xml:space="preserve"> </w:t>
      </w:r>
    </w:p>
    <w:p w14:paraId="72EAE908" w14:textId="7F06FD79" w:rsidR="00FA0569" w:rsidRDefault="00213875" w:rsidP="00D26FB9">
      <w:pPr>
        <w:pStyle w:val="Titre1"/>
      </w:pPr>
      <w:r>
        <w:lastRenderedPageBreak/>
        <w:t>Discussion : s’intéresser à « l’amont » de la coopétition</w:t>
      </w:r>
    </w:p>
    <w:p w14:paraId="3BE1EC20" w14:textId="77777777" w:rsidR="00213875" w:rsidRDefault="00213875" w:rsidP="00D26FB9">
      <w:pPr>
        <w:pStyle w:val="Titre2"/>
      </w:pPr>
      <w:r>
        <w:t>Contributions théoriques</w:t>
      </w:r>
    </w:p>
    <w:p w14:paraId="092208DB" w14:textId="3EA7868F" w:rsidR="0017396E" w:rsidRDefault="0017396E" w:rsidP="00BA5210">
      <w:pPr>
        <w:pStyle w:val="Titre3"/>
      </w:pPr>
      <w:r>
        <w:t>Représentations sociales et capacité de coopétition</w:t>
      </w:r>
    </w:p>
    <w:p w14:paraId="79BA69A9" w14:textId="3A24FC4C" w:rsidR="00053721" w:rsidRDefault="0017396E" w:rsidP="00504B0E">
      <w:r>
        <w:t xml:space="preserve">En premier lieu, notre recherche vient compléter les travaux </w:t>
      </w:r>
      <w:r w:rsidR="00122146">
        <w:t>existants</w:t>
      </w:r>
      <w:r>
        <w:t xml:space="preserve"> sur </w:t>
      </w:r>
      <w:r w:rsidR="00C25B8C">
        <w:t xml:space="preserve">la capacité de coopétition, c’est-à-dire l’aptitude d’un dirigeant à penser de façon paradoxale et à initier des processus qui permettent à leur </w:t>
      </w:r>
      <w:r w:rsidR="005720B4">
        <w:t>organisation</w:t>
      </w:r>
      <w:r w:rsidR="00B2427E">
        <w:t xml:space="preserve"> de</w:t>
      </w:r>
      <w:r w:rsidR="00C25B8C">
        <w:t xml:space="preserve"> limiter les tensions à un niveau modéré, quelle que soit l’intensité des paradoxes rencontrés </w:t>
      </w:r>
      <w:r w:rsidR="00DF09AD">
        <w:t>(</w:t>
      </w:r>
      <w:proofErr w:type="spellStart"/>
      <w:r w:rsidR="00DF09AD">
        <w:t>Bengtsson</w:t>
      </w:r>
      <w:proofErr w:type="spellEnd"/>
      <w:r w:rsidR="00DF09AD">
        <w:t xml:space="preserve"> et al., 2016</w:t>
      </w:r>
      <w:r>
        <w:t>).</w:t>
      </w:r>
      <w:r w:rsidR="00DF09AD">
        <w:t xml:space="preserve"> </w:t>
      </w:r>
      <w:r w:rsidR="005720B4">
        <w:t>Or</w:t>
      </w:r>
      <w:r w:rsidR="00DF09AD">
        <w:t xml:space="preserve"> ces auteurs</w:t>
      </w:r>
      <w:r w:rsidR="00C25B8C">
        <w:t xml:space="preserve"> s’intéressent à des situations dans lesquelles la coopétition est déjà avérée</w:t>
      </w:r>
      <w:r w:rsidR="005B12AE">
        <w:t>. Il en est de même dans une étude plus récente (</w:t>
      </w:r>
      <w:proofErr w:type="spellStart"/>
      <w:r w:rsidR="005B12AE">
        <w:t>Bengtsson</w:t>
      </w:r>
      <w:proofErr w:type="spellEnd"/>
      <w:r w:rsidR="005B12AE">
        <w:t xml:space="preserve"> et al., 2020) qui cherche à faire le lien entre la diversité des équipes du top management et la capacité de coopétition. </w:t>
      </w:r>
    </w:p>
    <w:p w14:paraId="7F7469C2" w14:textId="18540015" w:rsidR="005B12AE" w:rsidRDefault="005B12AE" w:rsidP="00504B0E">
      <w:r>
        <w:t xml:space="preserve">Notre recherche, quant à elle, porte sur l’amont de la coopétition, en visant à capter les perceptions des collaborateurs au niveau </w:t>
      </w:r>
      <w:r w:rsidR="00E13839">
        <w:t>individuel</w:t>
      </w:r>
      <w:r>
        <w:t xml:space="preserve"> face à un projet coopétitif en phase de déploiement. Cet apport nous semble</w:t>
      </w:r>
      <w:r w:rsidR="00122146">
        <w:t xml:space="preserve"> à la fois original – car non encore exploré – </w:t>
      </w:r>
      <w:r w:rsidR="001F7DAE">
        <w:t>et primordial</w:t>
      </w:r>
      <w:r w:rsidR="00122146">
        <w:t xml:space="preserve"> –</w:t>
      </w:r>
      <w:r>
        <w:t xml:space="preserve"> il s’agit alors d’anticiper le degré d’acceptabilité de la coopétition par les collaborateurs eux-mêmes. Plus précisément, notre recherche contribue à la littérature en s’intéressant, pour la première fois à notre connaissance, </w:t>
      </w:r>
      <w:r w:rsidR="001F7DAE">
        <w:t>aux</w:t>
      </w:r>
      <w:r w:rsidR="00542811">
        <w:t xml:space="preserve"> représentation</w:t>
      </w:r>
      <w:r w:rsidR="001F7DAE">
        <w:t>s</w:t>
      </w:r>
      <w:r w:rsidR="00542811">
        <w:t xml:space="preserve"> sociale</w:t>
      </w:r>
      <w:r w:rsidR="001F7DAE">
        <w:t>s</w:t>
      </w:r>
      <w:r w:rsidR="00542811">
        <w:t xml:space="preserve"> associée</w:t>
      </w:r>
      <w:r w:rsidR="001F7DAE">
        <w:t>s</w:t>
      </w:r>
      <w:r w:rsidR="00542811">
        <w:t xml:space="preserve"> à la coopétition, en amont de la mise en œuvre de celle-ci. Notre méthode d’investigation montre l’intérêt d’une telle démarche, qui permet </w:t>
      </w:r>
      <w:r w:rsidR="00BF329E">
        <w:t xml:space="preserve">de repérer, en amont, des attentes et des freins liés au projet coopétitif. Quant à nos résultats, sur la base du cas étudié, ils montrent que les représentations associées à la coopétition peuvent être tout à fait positives, même si des difficultés à venir sont pressenties, confirmant en cela la double dimension de tensions et d’harmonie de la coopétition (Chou </w:t>
      </w:r>
      <w:r w:rsidR="00DF09AD">
        <w:t>&amp;</w:t>
      </w:r>
      <w:r w:rsidR="00BF329E">
        <w:t xml:space="preserve"> </w:t>
      </w:r>
      <w:proofErr w:type="spellStart"/>
      <w:r w:rsidR="00BF329E">
        <w:t>Zolkiewski</w:t>
      </w:r>
      <w:proofErr w:type="spellEnd"/>
      <w:r w:rsidR="00BF329E">
        <w:t>, 2018).</w:t>
      </w:r>
    </w:p>
    <w:p w14:paraId="300A30F0" w14:textId="1B242DDD" w:rsidR="0017396E" w:rsidRPr="00BA5210" w:rsidRDefault="0017396E" w:rsidP="00BA5210">
      <w:pPr>
        <w:pStyle w:val="Titre3"/>
      </w:pPr>
      <w:r w:rsidRPr="00BA5210">
        <w:t xml:space="preserve">Représentations sociales et perceptions </w:t>
      </w:r>
      <w:r w:rsidR="00B2427E">
        <w:t>individuelles</w:t>
      </w:r>
    </w:p>
    <w:p w14:paraId="07532E3D" w14:textId="77777777" w:rsidR="00BA5210" w:rsidRDefault="009C5019" w:rsidP="0017396E">
      <w:r>
        <w:t>Si la coopétition fait maintenant l’objet d’une littérature abondante, qui en étudie les différents acteurs, aspects, motivations ou résultats (</w:t>
      </w:r>
      <w:proofErr w:type="spellStart"/>
      <w:r>
        <w:t>Dorn</w:t>
      </w:r>
      <w:proofErr w:type="spellEnd"/>
      <w:r>
        <w:t xml:space="preserve"> et al., 2016), très peu d’études se sont intéressées à la perception par les collaborateurs eux-mêmes, au sein des organisations engagées dans des relations coopétitives. En cela, notre recherche vient compléter les travaux de </w:t>
      </w:r>
      <w:proofErr w:type="spellStart"/>
      <w:r>
        <w:t>Albert-Cromarias</w:t>
      </w:r>
      <w:proofErr w:type="spellEnd"/>
      <w:r>
        <w:t xml:space="preserve"> et Dos Santos (2020)</w:t>
      </w:r>
      <w:r w:rsidR="00EF176F">
        <w:t xml:space="preserve">, qui portent sur l’étude des perceptions des </w:t>
      </w:r>
      <w:r w:rsidR="00122146">
        <w:t>conséquences</w:t>
      </w:r>
      <w:r w:rsidR="00EF176F">
        <w:t xml:space="preserve"> de la coopétition entre établissements de santé. </w:t>
      </w:r>
    </w:p>
    <w:p w14:paraId="12042B9A" w14:textId="2D3653E7" w:rsidR="0017396E" w:rsidRDefault="00EF176F" w:rsidP="0017396E">
      <w:r>
        <w:t xml:space="preserve">Nos travaux s’en rapprochent donc, puisque, en explorant les représentations sociales, nous abordons, nous aussi, la perception </w:t>
      </w:r>
      <w:r w:rsidR="00213875">
        <w:t xml:space="preserve">de la coopétition </w:t>
      </w:r>
      <w:r>
        <w:t xml:space="preserve">par les collaborateurs à un niveau </w:t>
      </w:r>
      <w:r w:rsidR="00213875">
        <w:lastRenderedPageBreak/>
        <w:t>individuel</w:t>
      </w:r>
      <w:r w:rsidR="00E13839">
        <w:t>, en faisant également une approche par groupes professionnels</w:t>
      </w:r>
      <w:r>
        <w:t>. En revanche, ils s’en détachent pour les raisons évoquées au paragraphe précédent, à savoir une attention particulière portée à la phase amont du projet coopétitif, et non la phase aval.</w:t>
      </w:r>
    </w:p>
    <w:p w14:paraId="13BC79A5" w14:textId="77777777" w:rsidR="00504B0E" w:rsidRPr="000D438E" w:rsidRDefault="005B12AE" w:rsidP="00D26FB9">
      <w:pPr>
        <w:pStyle w:val="Titre2"/>
      </w:pPr>
      <w:r w:rsidRPr="000D438E">
        <w:t>C</w:t>
      </w:r>
      <w:r w:rsidR="00504B0E" w:rsidRPr="000D438E">
        <w:t>ontributions</w:t>
      </w:r>
      <w:r w:rsidRPr="000D438E">
        <w:t xml:space="preserve"> managériales</w:t>
      </w:r>
    </w:p>
    <w:p w14:paraId="40935EBF" w14:textId="19107352" w:rsidR="00E52A26" w:rsidRDefault="00E52A26" w:rsidP="00E52A26">
      <w:r>
        <w:rPr>
          <w:lang w:eastAsia="en-US"/>
        </w:rPr>
        <w:t xml:space="preserve">Notre étude </w:t>
      </w:r>
      <w:r>
        <w:t>met l’accent sur le faible niveau de tension repéré</w:t>
      </w:r>
      <w:r w:rsidR="00B2427E">
        <w:t xml:space="preserve">, qui s’explique par une </w:t>
      </w:r>
      <w:r>
        <w:t xml:space="preserve">coopétition dominée par la coopération </w:t>
      </w:r>
      <w:r w:rsidR="00B2427E">
        <w:t>et une</w:t>
      </w:r>
      <w:r>
        <w:t xml:space="preserve"> faible ambivalence émotionnelle. Bien que ces résultats constituent un environnement plutôt favorable pour lancer </w:t>
      </w:r>
      <w:proofErr w:type="spellStart"/>
      <w:r>
        <w:t>Allios</w:t>
      </w:r>
      <w:proofErr w:type="spellEnd"/>
      <w:r>
        <w:t>, ils peuvent engendrer, en l’absence de stimulus, une baisse d</w:t>
      </w:r>
      <w:r w:rsidR="00122146">
        <w:t>’intérêt voire d</w:t>
      </w:r>
      <w:r>
        <w:t xml:space="preserve">e motivation qui risquerait de compromettre la pérennité du projet à long terme. Il </w:t>
      </w:r>
      <w:r w:rsidR="00122146">
        <w:t>pourrait donc être intéressant</w:t>
      </w:r>
      <w:r>
        <w:t xml:space="preserve"> de manager la conduite de cette alliance en apportant des éléments de compétition supplémentaires </w:t>
      </w:r>
      <w:r w:rsidR="00122146">
        <w:t>comme</w:t>
      </w:r>
      <w:r>
        <w:t xml:space="preserve"> des challenges </w:t>
      </w:r>
      <w:r w:rsidR="00B52761">
        <w:t>entre les instituts</w:t>
      </w:r>
      <w:r>
        <w:t xml:space="preserve">. </w:t>
      </w:r>
    </w:p>
    <w:p w14:paraId="70A69AE1" w14:textId="77777777" w:rsidR="00E52A26" w:rsidRDefault="009C5019" w:rsidP="00E52A26">
      <w:r>
        <w:t xml:space="preserve">Par ailleurs, il semble que ce ne soit </w:t>
      </w:r>
      <w:r w:rsidR="00E52A26">
        <w:t xml:space="preserve">probablement pas le contenu </w:t>
      </w:r>
      <w:r w:rsidR="008739E4">
        <w:t>du projet qui détermine ou non son</w:t>
      </w:r>
      <w:r w:rsidR="00E52A26">
        <w:t xml:space="preserve"> niveau d’acceptation, mais </w:t>
      </w:r>
      <w:r w:rsidR="008739E4">
        <w:t>plutôt</w:t>
      </w:r>
      <w:r w:rsidR="00E52A26">
        <w:t xml:space="preserve"> les connaissances partagées </w:t>
      </w:r>
      <w:r w:rsidR="008739E4">
        <w:t xml:space="preserve">en amont par les individus </w:t>
      </w:r>
      <w:r w:rsidR="00E52A26">
        <w:t>sur l’objet social</w:t>
      </w:r>
      <w:r w:rsidR="00B52761">
        <w:t xml:space="preserve"> et la proximité cognitive entre établissements</w:t>
      </w:r>
      <w:r w:rsidR="00E52A26">
        <w:t xml:space="preserve">. </w:t>
      </w:r>
    </w:p>
    <w:p w14:paraId="42908D3E" w14:textId="74370DC4" w:rsidR="00E52A26" w:rsidRDefault="00B52761" w:rsidP="00E52A26">
      <w:r>
        <w:t>De ce fait, n</w:t>
      </w:r>
      <w:r w:rsidR="00E52A26">
        <w:t>ous pensons que, dans le cadre d’un diagnostic préalable au déploiement d’un projet stratégique</w:t>
      </w:r>
      <w:r>
        <w:t xml:space="preserve"> de type coopétition</w:t>
      </w:r>
      <w:r w:rsidR="00E52A26">
        <w:t>, l’analyse des représentations sociales de l’objet concerné auprès des collaborateurs pourrait faire partie des outils utilisés par le top management pour questionner les tensions internes susceptibles d’émerg</w:t>
      </w:r>
      <w:r w:rsidR="009C5019">
        <w:t>er</w:t>
      </w:r>
      <w:r w:rsidR="00E52A26">
        <w:t xml:space="preserve">. Ceci </w:t>
      </w:r>
      <w:r>
        <w:t>permettrait</w:t>
      </w:r>
      <w:r w:rsidR="00E52A26">
        <w:t xml:space="preserve"> de déterminer l</w:t>
      </w:r>
      <w:r>
        <w:t>es</w:t>
      </w:r>
      <w:r w:rsidR="00E52A26">
        <w:t xml:space="preserve"> </w:t>
      </w:r>
      <w:r>
        <w:t>polarités exprimées ainsi que</w:t>
      </w:r>
      <w:r w:rsidR="00E52A26">
        <w:t xml:space="preserve"> les éléments de première périphérie susceptibles d’interve</w:t>
      </w:r>
      <w:r>
        <w:t>nir dans la prise de position de chaque individu</w:t>
      </w:r>
      <w:r w:rsidR="00E52A26">
        <w:t xml:space="preserve">. En travaillant ces éléments par des communications ciblées, il est </w:t>
      </w:r>
      <w:r w:rsidR="001F7DAE">
        <w:t>possible d’</w:t>
      </w:r>
      <w:r w:rsidR="00E52A26">
        <w:t>influencer la constitution des noyaux centraux de la représentation sociale d’un objet auprès d’un groupe d’individus et</w:t>
      </w:r>
      <w:r w:rsidR="001F7DAE">
        <w:t xml:space="preserve"> donc,</w:t>
      </w:r>
      <w:r w:rsidR="00E52A26">
        <w:t xml:space="preserve"> dans une certaine mesure</w:t>
      </w:r>
      <w:r w:rsidR="001F7DAE">
        <w:t>,</w:t>
      </w:r>
      <w:r w:rsidR="00E52A26">
        <w:t xml:space="preserve"> d’influencer </w:t>
      </w:r>
      <w:r w:rsidR="001F7DAE">
        <w:t>leur prise de position et, par là-</w:t>
      </w:r>
      <w:r w:rsidR="00E52A26">
        <w:t>même</w:t>
      </w:r>
      <w:r w:rsidR="001F7DAE">
        <w:t>,</w:t>
      </w:r>
      <w:r w:rsidR="00E52A26">
        <w:t xml:space="preserve"> leur niveau d’acceptation d’un nouveau projet</w:t>
      </w:r>
      <w:r w:rsidR="00E13839">
        <w:t>, en l’occurrence coopétitif</w:t>
      </w:r>
      <w:r w:rsidR="00E52A26">
        <w:t xml:space="preserve">. </w:t>
      </w:r>
    </w:p>
    <w:p w14:paraId="6B577BF8" w14:textId="67158980" w:rsidR="00504B0E" w:rsidRPr="00DC1B55" w:rsidRDefault="000C08C4" w:rsidP="00D26FB9">
      <w:pPr>
        <w:pStyle w:val="Titre2"/>
      </w:pPr>
      <w:r>
        <w:t>Biais</w:t>
      </w:r>
      <w:r w:rsidR="00BA5210">
        <w:t xml:space="preserve">, </w:t>
      </w:r>
      <w:r w:rsidR="00504B0E">
        <w:t>limites</w:t>
      </w:r>
      <w:r w:rsidR="00BA5210">
        <w:t xml:space="preserve"> et perspectives</w:t>
      </w:r>
    </w:p>
    <w:p w14:paraId="163BD7A7" w14:textId="3D054242" w:rsidR="00053721" w:rsidRDefault="00053721" w:rsidP="00053721">
      <w:r w:rsidRPr="00B00FCE">
        <w:t>Nous</w:t>
      </w:r>
      <w:r>
        <w:t xml:space="preserve"> avons fait le choix de mobiliser plusieurs outils pour documenter les représentations sociales initiales portées par les collaborateurs </w:t>
      </w:r>
      <w:r w:rsidR="001F7DAE">
        <w:t xml:space="preserve">des </w:t>
      </w:r>
      <w:r>
        <w:t xml:space="preserve">instituts </w:t>
      </w:r>
      <w:r w:rsidR="001F7DAE">
        <w:t>étudi</w:t>
      </w:r>
      <w:r>
        <w:t>és. Si ces outils se complètent bien, certaines limites sont apparues</w:t>
      </w:r>
      <w:r w:rsidR="00B52761" w:rsidRPr="00B52761">
        <w:t xml:space="preserve"> </w:t>
      </w:r>
      <w:r w:rsidR="00B52761">
        <w:t>au cours de ce travail</w:t>
      </w:r>
      <w:r>
        <w:t xml:space="preserve">. </w:t>
      </w:r>
    </w:p>
    <w:p w14:paraId="10CCCD34" w14:textId="11ACE644" w:rsidR="00053721" w:rsidRDefault="00053721" w:rsidP="00053721">
      <w:r>
        <w:t xml:space="preserve">Dans un </w:t>
      </w:r>
      <w:r w:rsidR="00DB64A9">
        <w:t>premier</w:t>
      </w:r>
      <w:r>
        <w:t xml:space="preserve"> temps, nous </w:t>
      </w:r>
      <w:r w:rsidR="00EF176F">
        <w:t xml:space="preserve">avons </w:t>
      </w:r>
      <w:r>
        <w:t>constat</w:t>
      </w:r>
      <w:r w:rsidR="00EF176F">
        <w:t>é</w:t>
      </w:r>
      <w:r w:rsidR="00DB64A9">
        <w:t>,</w:t>
      </w:r>
      <w:r>
        <w:t xml:space="preserve"> dans un cas</w:t>
      </w:r>
      <w:r w:rsidR="00DB64A9">
        <w:t>,</w:t>
      </w:r>
      <w:r>
        <w:t xml:space="preserve"> un écart significatif entre les résultats obtenus après l’étude du questionnaire d’association sémantique et les éléments recueillis </w:t>
      </w:r>
      <w:r w:rsidR="00EF176F">
        <w:t>ensuite</w:t>
      </w:r>
      <w:r>
        <w:t xml:space="preserve"> au cours de </w:t>
      </w:r>
      <w:r w:rsidR="00EF176F">
        <w:t>l’entretien semi-directif</w:t>
      </w:r>
      <w:r>
        <w:t xml:space="preserve">. </w:t>
      </w:r>
      <w:r w:rsidR="00EF176F">
        <w:t>Ce point nous alerte sur le fait que l</w:t>
      </w:r>
      <w:r>
        <w:t>e maniement des outils sémantiques peut être contraignant</w:t>
      </w:r>
      <w:r w:rsidR="00EF176F">
        <w:t xml:space="preserve"> – et donc faussé –</w:t>
      </w:r>
      <w:r>
        <w:t xml:space="preserve"> chez</w:t>
      </w:r>
      <w:r w:rsidR="00EF176F">
        <w:t xml:space="preserve"> </w:t>
      </w:r>
      <w:r>
        <w:t xml:space="preserve">des </w:t>
      </w:r>
      <w:r w:rsidR="00EF176F">
        <w:t>interviewés</w:t>
      </w:r>
      <w:r>
        <w:t xml:space="preserve"> qui ne </w:t>
      </w:r>
      <w:r>
        <w:lastRenderedPageBreak/>
        <w:t xml:space="preserve">sont pas agiles avec les éléments lexicaux. Cela confirme </w:t>
      </w:r>
      <w:r w:rsidR="00EF176F">
        <w:t>par ailleurs l’intérêt</w:t>
      </w:r>
      <w:r>
        <w:t xml:space="preserve"> de coupler les questionnaires sémantiques par des entretiens individuels qui permettent d’expliciter les mots retenus</w:t>
      </w:r>
      <w:r w:rsidR="001F7DAE">
        <w:t xml:space="preserve"> et de trianguler l’information ainsi obtenue.</w:t>
      </w:r>
      <w:r>
        <w:t xml:space="preserve"> </w:t>
      </w:r>
    </w:p>
    <w:p w14:paraId="1BE90BD3" w14:textId="51E4C0DB" w:rsidR="00EF176F" w:rsidRDefault="00EF176F" w:rsidP="00053721">
      <w:r>
        <w:t>De plus, nous avons fait le choix de nous focaliser sur les éléments du noyau central et de la première périphérie, dans un souci de clarté et afin de faciliter l’interprétation des résultats. Pourtant, d’autres éléments</w:t>
      </w:r>
      <w:r w:rsidR="00AC5905">
        <w:t>, moins fréquents,</w:t>
      </w:r>
      <w:r>
        <w:t xml:space="preserve"> ont été collectés, entrant dans les cases 3 (éléments contrastés) et 4 (d</w:t>
      </w:r>
      <w:r w:rsidR="00B2427E">
        <w:t>euxième périphérie) du Tableau 1</w:t>
      </w:r>
      <w:r>
        <w:t>. Ceux-ci restent alors à analyser</w:t>
      </w:r>
      <w:r w:rsidR="00DB64A9">
        <w:t>,</w:t>
      </w:r>
      <w:r>
        <w:t xml:space="preserve"> </w:t>
      </w:r>
      <w:r w:rsidR="00AC5905">
        <w:t xml:space="preserve">leur interprétation </w:t>
      </w:r>
      <w:r w:rsidR="00DB64A9">
        <w:t>s’avérant</w:t>
      </w:r>
      <w:r w:rsidR="00AC5905">
        <w:t xml:space="preserve"> délicate compte tenu de leur faible fréquence.</w:t>
      </w:r>
    </w:p>
    <w:p w14:paraId="56775F83" w14:textId="77777777" w:rsidR="00594DDE" w:rsidRDefault="00DB64A9" w:rsidP="0039597F">
      <w:pPr>
        <w:rPr>
          <w:lang w:eastAsia="en-US"/>
        </w:rPr>
      </w:pPr>
      <w:r>
        <w:rPr>
          <w:lang w:eastAsia="en-US"/>
        </w:rPr>
        <w:t>Par ailleurs</w:t>
      </w:r>
      <w:r w:rsidR="00AC5905">
        <w:rPr>
          <w:lang w:eastAsia="en-US"/>
        </w:rPr>
        <w:t>, notre étude, qui se voulait essentiellement exploratoire</w:t>
      </w:r>
      <w:r>
        <w:rPr>
          <w:lang w:eastAsia="en-US"/>
        </w:rPr>
        <w:t xml:space="preserve"> à ce stade et répond en cela à nos attentes</w:t>
      </w:r>
      <w:r w:rsidR="00AC5905">
        <w:rPr>
          <w:lang w:eastAsia="en-US"/>
        </w:rPr>
        <w:t>, porte sur un nombre relativement faible de personnes interrogées, même si nous avons veillé à une représentativité des différents groupes professionnels présents au sein de chacune des trois structures étudiées.</w:t>
      </w:r>
      <w:r>
        <w:rPr>
          <w:lang w:eastAsia="en-US"/>
        </w:rPr>
        <w:t xml:space="preserve"> </w:t>
      </w:r>
    </w:p>
    <w:p w14:paraId="3C9817D5" w14:textId="51CA8DD8" w:rsidR="00053721" w:rsidRDefault="00DB64A9" w:rsidP="00053721">
      <w:r w:rsidRPr="00DB64A9">
        <w:rPr>
          <w:lang w:eastAsia="en-US"/>
        </w:rPr>
        <w:t xml:space="preserve">Enfin, il semble </w:t>
      </w:r>
      <w:r w:rsidR="00053721" w:rsidRPr="00DB64A9">
        <w:t xml:space="preserve">nécessaire d’appliquer cette méthode </w:t>
      </w:r>
      <w:r w:rsidRPr="00DB64A9">
        <w:t xml:space="preserve">d’investigation </w:t>
      </w:r>
      <w:r w:rsidR="00053721" w:rsidRPr="00DB64A9">
        <w:t>sur d’autres terrains de recherche</w:t>
      </w:r>
      <w:r w:rsidRPr="00DB64A9">
        <w:t>, dans d’autres secteurs d’activité et d’autres contextes,</w:t>
      </w:r>
      <w:r w:rsidR="00053721" w:rsidRPr="00DB64A9">
        <w:t xml:space="preserve"> afin d</w:t>
      </w:r>
      <w:r w:rsidRPr="00DB64A9">
        <w:t xml:space="preserve">e mieux </w:t>
      </w:r>
      <w:r w:rsidR="00053721" w:rsidRPr="00DB64A9">
        <w:t xml:space="preserve">en évaluer les </w:t>
      </w:r>
      <w:r w:rsidRPr="00DB64A9">
        <w:t xml:space="preserve">apports et les </w:t>
      </w:r>
      <w:r w:rsidR="00053721" w:rsidRPr="00DB64A9">
        <w:t>limites.</w:t>
      </w:r>
      <w:r w:rsidR="00053721">
        <w:t xml:space="preserve"> </w:t>
      </w:r>
    </w:p>
    <w:p w14:paraId="127B853B" w14:textId="304D0AA2" w:rsidR="001D4622" w:rsidRDefault="00E13839" w:rsidP="001D4622">
      <w:pPr>
        <w:rPr>
          <w:lang w:eastAsia="en-US"/>
        </w:rPr>
      </w:pPr>
      <w:r>
        <w:rPr>
          <w:lang w:eastAsia="en-US"/>
        </w:rPr>
        <w:t xml:space="preserve">Au-delà de ces aspects méthodologiques, </w:t>
      </w:r>
      <w:r w:rsidR="001D4622">
        <w:rPr>
          <w:lang w:eastAsia="en-US"/>
        </w:rPr>
        <w:t xml:space="preserve">il convient de rappeler le contexte particulier dans lequel l’étude a été réalisée, qui permet de repérer certains axes d’amélioration pour le secteur. Ainsi, la crise sanitaire et le premier confinement ont mis à l’arrêt les instituts de formation, puisque tous les enseignements pratiques ont été suspendus. L’organisation des cours en distanciel a été particulièrement ardue. En effet, la professionnalisation des formateurs en ostéopathie </w:t>
      </w:r>
      <w:r w:rsidR="00B2427E">
        <w:rPr>
          <w:lang w:eastAsia="en-US"/>
        </w:rPr>
        <w:t>s’avère</w:t>
      </w:r>
      <w:r w:rsidR="001D4622">
        <w:rPr>
          <w:lang w:eastAsia="en-US"/>
        </w:rPr>
        <w:t xml:space="preserve"> faible, le compagnonnage restant la voie d’accès très majoritaire. La crise sanitaire a ainsi révélé </w:t>
      </w:r>
      <w:r w:rsidR="00B46EAE">
        <w:rPr>
          <w:lang w:eastAsia="en-US"/>
        </w:rPr>
        <w:t>une</w:t>
      </w:r>
      <w:r w:rsidR="001D4622">
        <w:rPr>
          <w:lang w:eastAsia="en-US"/>
        </w:rPr>
        <w:t xml:space="preserve"> faiblesse dans la transmission des savoirs et savoir-faire</w:t>
      </w:r>
      <w:r w:rsidR="007939B2">
        <w:rPr>
          <w:lang w:eastAsia="en-US"/>
        </w:rPr>
        <w:t xml:space="preserve"> : si la technique enseignée dans la formation en présentiel reste aléatoire en fonction du formateur, la technique enseignable en distanciel n’existe tout simplement pas. Les instituts ont donc dû affronter des résistances fortes de la part des formateurs en exercice lors de la mise en place de classes virtuelles, peu adaptées à une filière professionnalisante préparant à une pratique manuelle. Apparaît ainsi la nécessité de construire un parcours de formation et d’accompagnement des formateurs en ostéopathie, qui se retrouvent, à titre personnel, à la fois en collaboration et en concurrence, projet sur lequel un GIE tel </w:t>
      </w:r>
      <w:proofErr w:type="spellStart"/>
      <w:r w:rsidR="007939B2">
        <w:rPr>
          <w:lang w:eastAsia="en-US"/>
        </w:rPr>
        <w:t>Allios</w:t>
      </w:r>
      <w:proofErr w:type="spellEnd"/>
      <w:r w:rsidR="007939B2">
        <w:rPr>
          <w:lang w:eastAsia="en-US"/>
        </w:rPr>
        <w:t xml:space="preserve"> a toute sa place.</w:t>
      </w:r>
    </w:p>
    <w:p w14:paraId="2152C02E" w14:textId="77777777" w:rsidR="0039597F" w:rsidRDefault="0039597F" w:rsidP="00D26FB9">
      <w:pPr>
        <w:pStyle w:val="Titre1"/>
        <w:numPr>
          <w:ilvl w:val="0"/>
          <w:numId w:val="0"/>
        </w:numPr>
      </w:pPr>
      <w:r>
        <w:t>Conclusion</w:t>
      </w:r>
    </w:p>
    <w:p w14:paraId="7EA3587C" w14:textId="1DA6F78B" w:rsidR="00511474" w:rsidRDefault="00511474" w:rsidP="00511474">
      <w:r>
        <w:rPr>
          <w:lang w:eastAsia="en-US"/>
        </w:rPr>
        <w:t xml:space="preserve">Répondant à l’objectif </w:t>
      </w:r>
      <w:r w:rsidRPr="00511474">
        <w:t xml:space="preserve">d’identifier les représentations sociales d’un projet coopétitif en amont de sa mise en œuvre auprès des collaborateurs concernés, </w:t>
      </w:r>
      <w:r>
        <w:t xml:space="preserve">notre recherche ouvre la voie à une </w:t>
      </w:r>
      <w:r>
        <w:lastRenderedPageBreak/>
        <w:t>dimension jusqu’alors peu explorée dans la littérature sur la coopétition. En effet, si les chercheurs ont, de longue date, parfaitement identifié la nécessité de parvenir à gérer les paradoxes induits par la coopétition, ni la phase amont – préalable au déploiement à grande échelle du projet – ni la perception des collaborateurs n’avaient jusqu’alors été réellement explorées. Notre travail ne constitue cependant qu’une timide incursion dans ce champ des représentations sociales à la fois passionnant, complexe et éminemment utile pour les managers, qui constitue nombre d’opportunités de recherche à venir.</w:t>
      </w:r>
    </w:p>
    <w:p w14:paraId="5B867A97" w14:textId="00718A31" w:rsidR="00CD736A" w:rsidRDefault="00511474" w:rsidP="00CD736A">
      <w:pPr>
        <w:rPr>
          <w:lang w:eastAsia="en-US"/>
        </w:rPr>
      </w:pPr>
      <w:r>
        <w:t>Dans le cas étudié, les antécédents de la coopétition apparaissent en filigrane, comme autant de raisons qui ont conduit les trois instituts de formation à développer une telle stratégie. Leur proximité cognitive semble indéniablement faciliter</w:t>
      </w:r>
      <w:r w:rsidR="00E13839">
        <w:t xml:space="preserve"> l’acceptabilité telle </w:t>
      </w:r>
      <w:proofErr w:type="gramStart"/>
      <w:r w:rsidR="00E13839">
        <w:t>qu’</w:t>
      </w:r>
      <w:r>
        <w:t>ont</w:t>
      </w:r>
      <w:proofErr w:type="gramEnd"/>
      <w:r>
        <w:t xml:space="preserve"> pu l’exprimer les collaborateurs interrogés. Au-delà, la coopétition qui va être mise en œuvre dans ce secteur dans les années à venir aura probablement des effets majeurs, conduisant </w:t>
      </w:r>
      <w:r w:rsidR="00594DDE">
        <w:rPr>
          <w:lang w:eastAsia="en-US"/>
        </w:rPr>
        <w:t xml:space="preserve">à la transformation d’un secteur d’activité avec des enjeux </w:t>
      </w:r>
      <w:r w:rsidR="007A401C">
        <w:rPr>
          <w:lang w:eastAsia="en-US"/>
        </w:rPr>
        <w:t xml:space="preserve">forts </w:t>
      </w:r>
      <w:r w:rsidR="00594DDE">
        <w:rPr>
          <w:lang w:eastAsia="en-US"/>
        </w:rPr>
        <w:t>vis-à-vis du public, du monde médical et des instances de régulation.</w:t>
      </w:r>
    </w:p>
    <w:p w14:paraId="5691AC33" w14:textId="77777777" w:rsidR="006268E5" w:rsidRDefault="006268E5" w:rsidP="00D26FB9">
      <w:pPr>
        <w:pStyle w:val="Titre1"/>
        <w:numPr>
          <w:ilvl w:val="0"/>
          <w:numId w:val="0"/>
        </w:numPr>
        <w:rPr>
          <w:rFonts w:eastAsia="Times New Roman" w:cs="Times New Roman"/>
          <w:b w:val="0"/>
          <w:sz w:val="24"/>
          <w:szCs w:val="24"/>
        </w:rPr>
      </w:pPr>
    </w:p>
    <w:p w14:paraId="5119E246" w14:textId="73DBE94A" w:rsidR="00CD736A" w:rsidRPr="00CD736A" w:rsidRDefault="00CD736A" w:rsidP="00D26FB9">
      <w:pPr>
        <w:pStyle w:val="Titre1"/>
        <w:numPr>
          <w:ilvl w:val="0"/>
          <w:numId w:val="0"/>
        </w:numPr>
      </w:pPr>
      <w:r>
        <w:t>Références bibliographiques</w:t>
      </w:r>
    </w:p>
    <w:p w14:paraId="690A7516" w14:textId="77777777" w:rsidR="00EA5927" w:rsidRPr="00EF2C28" w:rsidRDefault="00EA5927" w:rsidP="00544FBF">
      <w:pPr>
        <w:pStyle w:val="NormalWeb"/>
        <w:spacing w:before="0" w:beforeAutospacing="0" w:after="0" w:afterAutospacing="0"/>
        <w:ind w:left="482" w:hanging="482"/>
        <w:rPr>
          <w:shd w:val="clear" w:color="auto" w:fill="FFFFFF"/>
          <w:lang w:val="en-US"/>
        </w:rPr>
      </w:pPr>
      <w:proofErr w:type="spellStart"/>
      <w:r w:rsidRPr="00EF2C28">
        <w:rPr>
          <w:rStyle w:val="uppercase"/>
          <w:rFonts w:eastAsiaTheme="majorEastAsia"/>
          <w:shd w:val="clear" w:color="auto" w:fill="FFFFFF"/>
        </w:rPr>
        <w:t>Abric</w:t>
      </w:r>
      <w:proofErr w:type="spellEnd"/>
      <w:r w:rsidRPr="00EF2C28">
        <w:rPr>
          <w:shd w:val="clear" w:color="auto" w:fill="FFFFFF"/>
        </w:rPr>
        <w:t>, J.</w:t>
      </w:r>
      <w:r w:rsidR="00EF1CCB" w:rsidRPr="00EF2C28">
        <w:rPr>
          <w:shd w:val="clear" w:color="auto" w:fill="FFFFFF"/>
        </w:rPr>
        <w:t>C.</w:t>
      </w:r>
      <w:r w:rsidRPr="00EF2C28">
        <w:rPr>
          <w:shd w:val="clear" w:color="auto" w:fill="FFFFFF"/>
        </w:rPr>
        <w:t xml:space="preserve"> (200</w:t>
      </w:r>
      <w:r w:rsidR="00EF1CCB" w:rsidRPr="00EF2C28">
        <w:rPr>
          <w:shd w:val="clear" w:color="auto" w:fill="FFFFFF"/>
        </w:rPr>
        <w:t xml:space="preserve">5). </w:t>
      </w:r>
      <w:r w:rsidR="00EF1CCB" w:rsidRPr="00EF2C28">
        <w:rPr>
          <w:i/>
          <w:iCs/>
          <w:shd w:val="clear" w:color="auto" w:fill="FFFFFF"/>
        </w:rPr>
        <w:t xml:space="preserve">Méthodes d’étude des </w:t>
      </w:r>
      <w:r w:rsidRPr="00EF2C28">
        <w:rPr>
          <w:i/>
          <w:iCs/>
          <w:shd w:val="clear" w:color="auto" w:fill="FFFFFF"/>
        </w:rPr>
        <w:t>représentations sociales</w:t>
      </w:r>
      <w:r w:rsidRPr="00EF2C28">
        <w:rPr>
          <w:shd w:val="clear" w:color="auto" w:fill="FFFFFF"/>
        </w:rPr>
        <w:t xml:space="preserve">. </w:t>
      </w:r>
      <w:r w:rsidR="00EF1CCB" w:rsidRPr="00EF2C28">
        <w:rPr>
          <w:shd w:val="clear" w:color="auto" w:fill="FFFFFF"/>
          <w:lang w:val="en-US"/>
        </w:rPr>
        <w:t>ERES, Toulouse</w:t>
      </w:r>
      <w:r w:rsidRPr="00EF2C28">
        <w:rPr>
          <w:shd w:val="clear" w:color="auto" w:fill="FFFFFF"/>
          <w:lang w:val="en-US"/>
        </w:rPr>
        <w:t>.</w:t>
      </w:r>
    </w:p>
    <w:p w14:paraId="513ACF24" w14:textId="70E82408" w:rsidR="00EA5927" w:rsidRPr="00EF2C28" w:rsidRDefault="00EA5927" w:rsidP="00544FBF">
      <w:pPr>
        <w:pStyle w:val="NormalWeb"/>
        <w:spacing w:before="0" w:beforeAutospacing="0" w:after="0" w:afterAutospacing="0"/>
        <w:ind w:left="482" w:hanging="482"/>
        <w:rPr>
          <w:lang w:val="en-US"/>
        </w:rPr>
      </w:pPr>
      <w:proofErr w:type="spellStart"/>
      <w:r w:rsidRPr="00EF2C28">
        <w:rPr>
          <w:lang w:val="es-ES"/>
        </w:rPr>
        <w:t>Albert-Cromarias</w:t>
      </w:r>
      <w:proofErr w:type="spellEnd"/>
      <w:r w:rsidRPr="00EF2C28">
        <w:rPr>
          <w:lang w:val="es-ES"/>
        </w:rPr>
        <w:t xml:space="preserve">, A., &amp; Dos Santos, C. (2020). </w:t>
      </w:r>
      <w:r w:rsidRPr="00EF2C28">
        <w:rPr>
          <w:lang w:val="en-US"/>
        </w:rPr>
        <w:t xml:space="preserve">Coopetition in healthcare: Heresy or reality? An exploration of felt outcomes at an intra-organizational level. </w:t>
      </w:r>
      <w:r w:rsidRPr="00EF2C28">
        <w:rPr>
          <w:i/>
          <w:iCs/>
          <w:lang w:val="en-US"/>
        </w:rPr>
        <w:t>Social Science and Medicine</w:t>
      </w:r>
      <w:r w:rsidRPr="00EF2C28">
        <w:rPr>
          <w:lang w:val="en-US"/>
        </w:rPr>
        <w:t xml:space="preserve">, </w:t>
      </w:r>
      <w:r w:rsidR="0087296D" w:rsidRPr="00EF2C28">
        <w:rPr>
          <w:lang w:val="en-US"/>
        </w:rPr>
        <w:t>vol.</w:t>
      </w:r>
      <w:r w:rsidRPr="00EF2C28">
        <w:rPr>
          <w:iCs/>
          <w:lang w:val="en-US"/>
        </w:rPr>
        <w:t xml:space="preserve">252, </w:t>
      </w:r>
      <w:proofErr w:type="gramStart"/>
      <w:r w:rsidRPr="00EF2C28">
        <w:rPr>
          <w:iCs/>
          <w:lang w:val="en-US"/>
        </w:rPr>
        <w:t>In</w:t>
      </w:r>
      <w:proofErr w:type="gramEnd"/>
      <w:r w:rsidRPr="00EF2C28">
        <w:rPr>
          <w:iCs/>
          <w:lang w:val="en-US"/>
        </w:rPr>
        <w:t xml:space="preserve"> press</w:t>
      </w:r>
      <w:r w:rsidRPr="00EF2C28">
        <w:rPr>
          <w:lang w:val="en-US"/>
        </w:rPr>
        <w:t xml:space="preserve">. </w:t>
      </w:r>
    </w:p>
    <w:p w14:paraId="58298579" w14:textId="2CA4577D" w:rsidR="00EA5927" w:rsidRPr="00EF2C28" w:rsidRDefault="00EA5927" w:rsidP="00544FBF">
      <w:pPr>
        <w:pStyle w:val="NormalWeb"/>
        <w:spacing w:before="0" w:beforeAutospacing="0" w:after="0" w:afterAutospacing="0"/>
        <w:ind w:left="482" w:hanging="482"/>
        <w:rPr>
          <w:lang w:val="en-US"/>
        </w:rPr>
      </w:pPr>
      <w:proofErr w:type="spellStart"/>
      <w:r w:rsidRPr="00EF2C28">
        <w:rPr>
          <w:lang w:val="en-US"/>
        </w:rPr>
        <w:t>Bengtsson</w:t>
      </w:r>
      <w:proofErr w:type="spellEnd"/>
      <w:r w:rsidRPr="00EF2C28">
        <w:rPr>
          <w:lang w:val="en-US"/>
        </w:rPr>
        <w:t>, M., &amp; Raza-</w:t>
      </w:r>
      <w:proofErr w:type="spellStart"/>
      <w:r w:rsidRPr="00EF2C28">
        <w:rPr>
          <w:lang w:val="en-US"/>
        </w:rPr>
        <w:t>Ullah</w:t>
      </w:r>
      <w:proofErr w:type="spellEnd"/>
      <w:r w:rsidRPr="00EF2C28">
        <w:rPr>
          <w:lang w:val="en-US"/>
        </w:rPr>
        <w:t xml:space="preserve">, T. (2016). A systematic review of research on coopetition: Toward a multilevel understanding. </w:t>
      </w:r>
      <w:r w:rsidRPr="00EF2C28">
        <w:rPr>
          <w:i/>
          <w:iCs/>
          <w:lang w:val="en-US"/>
        </w:rPr>
        <w:t>Industrial Marketing Management</w:t>
      </w:r>
      <w:r w:rsidRPr="00EF2C28">
        <w:rPr>
          <w:lang w:val="en-US"/>
        </w:rPr>
        <w:t xml:space="preserve">, </w:t>
      </w:r>
      <w:r w:rsidR="0087296D" w:rsidRPr="00EF2C28">
        <w:rPr>
          <w:lang w:val="en-US"/>
        </w:rPr>
        <w:t>vol.</w:t>
      </w:r>
      <w:r w:rsidRPr="00EF2C28">
        <w:rPr>
          <w:i/>
          <w:iCs/>
          <w:lang w:val="en-US"/>
        </w:rPr>
        <w:t>57</w:t>
      </w:r>
      <w:r w:rsidRPr="00EF2C28">
        <w:rPr>
          <w:lang w:val="en-US"/>
        </w:rPr>
        <w:t xml:space="preserve">, </w:t>
      </w:r>
      <w:r w:rsidR="0087296D" w:rsidRPr="00EF2C28">
        <w:rPr>
          <w:lang w:val="en-US"/>
        </w:rPr>
        <w:t>p.</w:t>
      </w:r>
      <w:r w:rsidRPr="00EF2C28">
        <w:rPr>
          <w:lang w:val="en-US"/>
        </w:rPr>
        <w:t xml:space="preserve">23–39. </w:t>
      </w:r>
    </w:p>
    <w:p w14:paraId="4BF2544A" w14:textId="44BC5EAD" w:rsidR="00EA5927" w:rsidRPr="00EF2C28" w:rsidRDefault="00EA5927" w:rsidP="00544FBF">
      <w:pPr>
        <w:pStyle w:val="NormalWeb"/>
        <w:spacing w:before="0" w:beforeAutospacing="0" w:after="0" w:afterAutospacing="0"/>
        <w:ind w:left="482" w:hanging="482"/>
        <w:rPr>
          <w:lang w:val="en-US"/>
        </w:rPr>
      </w:pPr>
      <w:proofErr w:type="spellStart"/>
      <w:r w:rsidRPr="00EF2C28">
        <w:rPr>
          <w:lang w:val="en-US"/>
        </w:rPr>
        <w:t>Bengtsson</w:t>
      </w:r>
      <w:proofErr w:type="spellEnd"/>
      <w:r w:rsidRPr="00EF2C28">
        <w:rPr>
          <w:lang w:val="en-US"/>
        </w:rPr>
        <w:t>, M., Raza-</w:t>
      </w:r>
      <w:proofErr w:type="spellStart"/>
      <w:r w:rsidRPr="00EF2C28">
        <w:rPr>
          <w:lang w:val="en-US"/>
        </w:rPr>
        <w:t>Ullah</w:t>
      </w:r>
      <w:proofErr w:type="spellEnd"/>
      <w:r w:rsidRPr="00EF2C28">
        <w:rPr>
          <w:lang w:val="en-US"/>
        </w:rPr>
        <w:t xml:space="preserve">, T., &amp; </w:t>
      </w:r>
      <w:proofErr w:type="spellStart"/>
      <w:r w:rsidRPr="00EF2C28">
        <w:rPr>
          <w:lang w:val="en-US"/>
        </w:rPr>
        <w:t>Vanyushyn</w:t>
      </w:r>
      <w:proofErr w:type="spellEnd"/>
      <w:r w:rsidRPr="00EF2C28">
        <w:rPr>
          <w:lang w:val="en-US"/>
        </w:rPr>
        <w:t xml:space="preserve">, V. (2016). The coopetition paradox and tension: The moderating role of coopetition capability. </w:t>
      </w:r>
      <w:r w:rsidRPr="00EF2C28">
        <w:rPr>
          <w:i/>
          <w:iCs/>
          <w:lang w:val="en-US"/>
        </w:rPr>
        <w:t>Industrial Marketing Management</w:t>
      </w:r>
      <w:r w:rsidRPr="00EF2C28">
        <w:rPr>
          <w:lang w:val="en-US"/>
        </w:rPr>
        <w:t xml:space="preserve">, </w:t>
      </w:r>
      <w:r w:rsidR="0087296D" w:rsidRPr="00EF2C28">
        <w:rPr>
          <w:lang w:val="en-US"/>
        </w:rPr>
        <w:t>vol.</w:t>
      </w:r>
      <w:r w:rsidRPr="00EF2C28">
        <w:rPr>
          <w:iCs/>
          <w:lang w:val="en-US"/>
        </w:rPr>
        <w:t>53</w:t>
      </w:r>
      <w:r w:rsidRPr="00EF2C28">
        <w:rPr>
          <w:lang w:val="en-US"/>
        </w:rPr>
        <w:t xml:space="preserve">, </w:t>
      </w:r>
      <w:r w:rsidR="0087296D" w:rsidRPr="00EF2C28">
        <w:rPr>
          <w:lang w:val="en-US"/>
        </w:rPr>
        <w:t>p.</w:t>
      </w:r>
      <w:r w:rsidRPr="00EF2C28">
        <w:rPr>
          <w:lang w:val="en-US"/>
        </w:rPr>
        <w:t xml:space="preserve">19–30. </w:t>
      </w:r>
    </w:p>
    <w:p w14:paraId="2A9872DA" w14:textId="76394BD1" w:rsidR="00EA5927" w:rsidRPr="00EF2C28" w:rsidRDefault="00EA5927" w:rsidP="00544FBF">
      <w:pPr>
        <w:pStyle w:val="NormalWeb"/>
        <w:spacing w:before="0" w:beforeAutospacing="0" w:after="0" w:afterAutospacing="0"/>
        <w:ind w:left="482" w:hanging="482"/>
        <w:rPr>
          <w:lang w:val="en-US"/>
        </w:rPr>
      </w:pPr>
      <w:proofErr w:type="spellStart"/>
      <w:r w:rsidRPr="00EF2C28">
        <w:rPr>
          <w:lang w:val="en-US"/>
        </w:rPr>
        <w:t>Bengtsson</w:t>
      </w:r>
      <w:proofErr w:type="spellEnd"/>
      <w:r w:rsidRPr="00EF2C28">
        <w:rPr>
          <w:lang w:val="en-US"/>
        </w:rPr>
        <w:t>, M., Raza-</w:t>
      </w:r>
      <w:proofErr w:type="spellStart"/>
      <w:r w:rsidRPr="00EF2C28">
        <w:rPr>
          <w:lang w:val="en-US"/>
        </w:rPr>
        <w:t>Ullah</w:t>
      </w:r>
      <w:proofErr w:type="spellEnd"/>
      <w:r w:rsidRPr="00EF2C28">
        <w:rPr>
          <w:lang w:val="en-US"/>
        </w:rPr>
        <w:t xml:space="preserve">, T., &amp; Srivastava, M. K. (2020). Looking different vs thinking differently: Impact of TMT diversity on coopetition capability. </w:t>
      </w:r>
      <w:r w:rsidRPr="00EF2C28">
        <w:rPr>
          <w:i/>
          <w:iCs/>
          <w:lang w:val="en-US"/>
        </w:rPr>
        <w:t>Long Range Planning</w:t>
      </w:r>
      <w:r w:rsidRPr="00EF2C28">
        <w:rPr>
          <w:lang w:val="en-US"/>
        </w:rPr>
        <w:t xml:space="preserve">, </w:t>
      </w:r>
      <w:r w:rsidR="0087296D" w:rsidRPr="00EF2C28">
        <w:rPr>
          <w:lang w:val="en-US"/>
        </w:rPr>
        <w:t>vol.</w:t>
      </w:r>
      <w:r w:rsidRPr="00EF2C28">
        <w:rPr>
          <w:iCs/>
          <w:lang w:val="en-US"/>
        </w:rPr>
        <w:t>53</w:t>
      </w:r>
      <w:r w:rsidR="0087296D" w:rsidRPr="00EF2C28">
        <w:rPr>
          <w:iCs/>
          <w:lang w:val="en-US"/>
        </w:rPr>
        <w:t>, n°</w:t>
      </w:r>
      <w:r w:rsidRPr="00EF2C28">
        <w:rPr>
          <w:lang w:val="en-US"/>
        </w:rPr>
        <w:t xml:space="preserve">1, </w:t>
      </w:r>
      <w:r w:rsidR="0087296D" w:rsidRPr="00EF2C28">
        <w:rPr>
          <w:lang w:val="en-US"/>
        </w:rPr>
        <w:t>in press</w:t>
      </w:r>
      <w:r w:rsidRPr="00EF2C28">
        <w:rPr>
          <w:lang w:val="en-US"/>
        </w:rPr>
        <w:t xml:space="preserve">. </w:t>
      </w:r>
    </w:p>
    <w:p w14:paraId="545F3625" w14:textId="32B625CE" w:rsidR="00EA5927" w:rsidRPr="00EF2C28" w:rsidRDefault="00EA5927" w:rsidP="00544FBF">
      <w:pPr>
        <w:pStyle w:val="NormalWeb"/>
        <w:spacing w:before="0" w:beforeAutospacing="0" w:after="0" w:afterAutospacing="0"/>
        <w:ind w:left="482" w:hanging="482"/>
        <w:rPr>
          <w:lang w:val="en-US"/>
        </w:rPr>
      </w:pPr>
      <w:r w:rsidRPr="00EF2C28">
        <w:rPr>
          <w:lang w:val="en-US"/>
        </w:rPr>
        <w:t xml:space="preserve">Chou, H.-H., &amp; </w:t>
      </w:r>
      <w:proofErr w:type="spellStart"/>
      <w:r w:rsidRPr="00EF2C28">
        <w:rPr>
          <w:lang w:val="en-US"/>
        </w:rPr>
        <w:t>Zolkiewski</w:t>
      </w:r>
      <w:proofErr w:type="spellEnd"/>
      <w:r w:rsidRPr="00EF2C28">
        <w:rPr>
          <w:lang w:val="en-US"/>
        </w:rPr>
        <w:t xml:space="preserve">, J. (2018). Coopetition and value creation and appropriation: The role of interdependencies, tensions and harmony. </w:t>
      </w:r>
      <w:r w:rsidRPr="00EF2C28">
        <w:rPr>
          <w:i/>
          <w:iCs/>
          <w:lang w:val="en-US"/>
        </w:rPr>
        <w:t>Industrial Marketing Management</w:t>
      </w:r>
      <w:r w:rsidRPr="00EF2C28">
        <w:rPr>
          <w:lang w:val="en-US"/>
        </w:rPr>
        <w:t xml:space="preserve">, </w:t>
      </w:r>
      <w:r w:rsidR="0087296D" w:rsidRPr="00EF2C28">
        <w:rPr>
          <w:lang w:val="en-US"/>
        </w:rPr>
        <w:t>vol.</w:t>
      </w:r>
      <w:r w:rsidRPr="00EF2C28">
        <w:rPr>
          <w:iCs/>
          <w:lang w:val="en-US"/>
        </w:rPr>
        <w:t>70</w:t>
      </w:r>
      <w:r w:rsidRPr="00EF2C28">
        <w:rPr>
          <w:lang w:val="en-US"/>
        </w:rPr>
        <w:t xml:space="preserve">, </w:t>
      </w:r>
      <w:r w:rsidR="0087296D" w:rsidRPr="00EF2C28">
        <w:rPr>
          <w:lang w:val="en-US"/>
        </w:rPr>
        <w:t>p.</w:t>
      </w:r>
      <w:r w:rsidRPr="00EF2C28">
        <w:rPr>
          <w:lang w:val="en-US"/>
        </w:rPr>
        <w:t xml:space="preserve">25–33. </w:t>
      </w:r>
    </w:p>
    <w:p w14:paraId="63AD0082" w14:textId="703D143B" w:rsidR="00EA5927" w:rsidRPr="00EF2C28" w:rsidRDefault="00EA5927" w:rsidP="00544FBF">
      <w:pPr>
        <w:pStyle w:val="NormalWeb"/>
        <w:spacing w:before="0" w:beforeAutospacing="0" w:after="0" w:afterAutospacing="0"/>
        <w:ind w:left="482" w:hanging="482"/>
        <w:rPr>
          <w:lang w:val="en-US"/>
        </w:rPr>
      </w:pPr>
      <w:r w:rsidRPr="00EF2C28">
        <w:rPr>
          <w:lang w:val="es-ES"/>
        </w:rPr>
        <w:t xml:space="preserve">Dana, L.-P., &amp; </w:t>
      </w:r>
      <w:proofErr w:type="spellStart"/>
      <w:r w:rsidRPr="00EF2C28">
        <w:rPr>
          <w:lang w:val="es-ES"/>
        </w:rPr>
        <w:t>Dumez</w:t>
      </w:r>
      <w:proofErr w:type="spellEnd"/>
      <w:r w:rsidRPr="00EF2C28">
        <w:rPr>
          <w:lang w:val="es-ES"/>
        </w:rPr>
        <w:t xml:space="preserve">, H. (2015). </w:t>
      </w:r>
      <w:r w:rsidRPr="00EF2C28">
        <w:rPr>
          <w:lang w:val="en-US"/>
        </w:rPr>
        <w:t xml:space="preserve">Qualitative research revisited: epistemology of a comprehensive approach. </w:t>
      </w:r>
      <w:r w:rsidRPr="00EF2C28">
        <w:rPr>
          <w:i/>
          <w:iCs/>
          <w:lang w:val="en-US"/>
        </w:rPr>
        <w:t>International Journal of Entrepreneurship and Small Business</w:t>
      </w:r>
      <w:r w:rsidRPr="00EF2C28">
        <w:rPr>
          <w:lang w:val="en-US"/>
        </w:rPr>
        <w:t xml:space="preserve">, </w:t>
      </w:r>
      <w:r w:rsidR="0087296D" w:rsidRPr="00EF2C28">
        <w:rPr>
          <w:lang w:val="en-US"/>
        </w:rPr>
        <w:t>vol.</w:t>
      </w:r>
      <w:r w:rsidRPr="00EF2C28">
        <w:rPr>
          <w:iCs/>
          <w:lang w:val="en-US"/>
        </w:rPr>
        <w:t>26</w:t>
      </w:r>
      <w:r w:rsidR="0087296D" w:rsidRPr="00EF2C28">
        <w:rPr>
          <w:iCs/>
          <w:lang w:val="en-US"/>
        </w:rPr>
        <w:t>, n°</w:t>
      </w:r>
      <w:r w:rsidRPr="00EF2C28">
        <w:rPr>
          <w:lang w:val="en-US"/>
        </w:rPr>
        <w:t xml:space="preserve">2, </w:t>
      </w:r>
      <w:r w:rsidR="0087296D" w:rsidRPr="00EF2C28">
        <w:rPr>
          <w:lang w:val="en-US"/>
        </w:rPr>
        <w:t>p.</w:t>
      </w:r>
      <w:r w:rsidRPr="00EF2C28">
        <w:rPr>
          <w:lang w:val="en-US"/>
        </w:rPr>
        <w:t xml:space="preserve">154–170. </w:t>
      </w:r>
    </w:p>
    <w:p w14:paraId="7EF9579C" w14:textId="7B625642" w:rsidR="00BF5557" w:rsidRPr="00EF2C28" w:rsidRDefault="00DF09AD" w:rsidP="00544FBF">
      <w:pPr>
        <w:pStyle w:val="NormalWeb"/>
        <w:spacing w:before="0" w:beforeAutospacing="0" w:after="0" w:afterAutospacing="0"/>
        <w:ind w:left="482" w:hanging="482"/>
        <w:rPr>
          <w:szCs w:val="20"/>
          <w:shd w:val="clear" w:color="auto" w:fill="FFFFFF"/>
        </w:rPr>
      </w:pPr>
      <w:r w:rsidRPr="00EF2C28">
        <w:rPr>
          <w:szCs w:val="20"/>
          <w:shd w:val="clear" w:color="auto" w:fill="FFFFFF"/>
          <w:lang w:val="es-ES"/>
        </w:rPr>
        <w:t xml:space="preserve">De </w:t>
      </w:r>
      <w:r w:rsidR="00BF5557" w:rsidRPr="00EF2C28">
        <w:rPr>
          <w:szCs w:val="20"/>
          <w:shd w:val="clear" w:color="auto" w:fill="FFFFFF"/>
          <w:lang w:val="es-ES"/>
        </w:rPr>
        <w:t xml:space="preserve">Rosa, A. S. (1995). </w:t>
      </w:r>
      <w:r w:rsidR="00BF5557" w:rsidRPr="00EF2C28">
        <w:rPr>
          <w:szCs w:val="20"/>
          <w:shd w:val="clear" w:color="auto" w:fill="FFFFFF"/>
        </w:rPr>
        <w:t xml:space="preserve">Le </w:t>
      </w:r>
      <w:r w:rsidR="00422DF3" w:rsidRPr="00EF2C28">
        <w:rPr>
          <w:szCs w:val="20"/>
          <w:shd w:val="clear" w:color="auto" w:fill="FFFFFF"/>
        </w:rPr>
        <w:t>“réseau d’associations” comme méthode d’é</w:t>
      </w:r>
      <w:r w:rsidR="00BF5557" w:rsidRPr="00EF2C28">
        <w:rPr>
          <w:szCs w:val="20"/>
          <w:shd w:val="clear" w:color="auto" w:fill="FFFFFF"/>
        </w:rPr>
        <w:t>tude</w:t>
      </w:r>
      <w:r w:rsidR="00422DF3" w:rsidRPr="00EF2C28">
        <w:rPr>
          <w:szCs w:val="20"/>
          <w:shd w:val="clear" w:color="auto" w:fill="FFFFFF"/>
        </w:rPr>
        <w:t xml:space="preserve"> dans la recherche sur les repré</w:t>
      </w:r>
      <w:r w:rsidR="00BF5557" w:rsidRPr="00EF2C28">
        <w:rPr>
          <w:szCs w:val="20"/>
          <w:shd w:val="clear" w:color="auto" w:fill="FFFFFF"/>
        </w:rPr>
        <w:t>sentations sociales: structure, contenus et polarité du champ sémantique. </w:t>
      </w:r>
      <w:r w:rsidR="00BF5557" w:rsidRPr="00EF2C28">
        <w:rPr>
          <w:i/>
          <w:iCs/>
          <w:szCs w:val="20"/>
          <w:shd w:val="clear" w:color="auto" w:fill="FFFFFF"/>
        </w:rPr>
        <w:t>Les fichiers internationaux de psychologie sociales</w:t>
      </w:r>
      <w:r w:rsidR="00BF5557" w:rsidRPr="00EF2C28">
        <w:rPr>
          <w:szCs w:val="20"/>
          <w:shd w:val="clear" w:color="auto" w:fill="FFFFFF"/>
        </w:rPr>
        <w:t>, </w:t>
      </w:r>
      <w:r w:rsidR="0087296D" w:rsidRPr="00EF2C28">
        <w:rPr>
          <w:szCs w:val="20"/>
          <w:shd w:val="clear" w:color="auto" w:fill="FFFFFF"/>
        </w:rPr>
        <w:t>vol.</w:t>
      </w:r>
      <w:r w:rsidR="00BF5557" w:rsidRPr="00EF2C28">
        <w:rPr>
          <w:iCs/>
          <w:szCs w:val="20"/>
          <w:shd w:val="clear" w:color="auto" w:fill="FFFFFF"/>
        </w:rPr>
        <w:t>28</w:t>
      </w:r>
      <w:r w:rsidR="00BF5557" w:rsidRPr="00EF2C28">
        <w:rPr>
          <w:szCs w:val="20"/>
          <w:shd w:val="clear" w:color="auto" w:fill="FFFFFF"/>
        </w:rPr>
        <w:t xml:space="preserve">, </w:t>
      </w:r>
      <w:r w:rsidR="0087296D" w:rsidRPr="00EF2C28">
        <w:rPr>
          <w:szCs w:val="20"/>
          <w:shd w:val="clear" w:color="auto" w:fill="FFFFFF"/>
        </w:rPr>
        <w:t>p.</w:t>
      </w:r>
      <w:r w:rsidR="00BF5557" w:rsidRPr="00EF2C28">
        <w:rPr>
          <w:szCs w:val="20"/>
          <w:shd w:val="clear" w:color="auto" w:fill="FFFFFF"/>
        </w:rPr>
        <w:t>96-122.</w:t>
      </w:r>
    </w:p>
    <w:p w14:paraId="66D04A4A" w14:textId="04572B4E" w:rsidR="00EF2C28" w:rsidRDefault="000925C6" w:rsidP="00544FBF">
      <w:pPr>
        <w:pStyle w:val="NormalWeb"/>
        <w:spacing w:before="0" w:beforeAutospacing="0" w:after="0" w:afterAutospacing="0"/>
        <w:ind w:left="482" w:hanging="482"/>
      </w:pPr>
      <w:proofErr w:type="spellStart"/>
      <w:r w:rsidRPr="00EF2C28">
        <w:rPr>
          <w:shd w:val="clear" w:color="auto" w:fill="FFFFFF"/>
        </w:rPr>
        <w:lastRenderedPageBreak/>
        <w:t>Dorn</w:t>
      </w:r>
      <w:proofErr w:type="spellEnd"/>
      <w:r w:rsidRPr="00EF2C28">
        <w:rPr>
          <w:shd w:val="clear" w:color="auto" w:fill="FFFFFF"/>
        </w:rPr>
        <w:t xml:space="preserve">, S., Schweiger, B., &amp; </w:t>
      </w:r>
      <w:proofErr w:type="spellStart"/>
      <w:r w:rsidRPr="00EF2C28">
        <w:rPr>
          <w:shd w:val="clear" w:color="auto" w:fill="FFFFFF"/>
        </w:rPr>
        <w:t>Albers</w:t>
      </w:r>
      <w:proofErr w:type="spellEnd"/>
      <w:r w:rsidRPr="00EF2C28">
        <w:rPr>
          <w:shd w:val="clear" w:color="auto" w:fill="FFFFFF"/>
        </w:rPr>
        <w:t xml:space="preserve">, S. (2016). Levels, phases and </w:t>
      </w:r>
      <w:proofErr w:type="spellStart"/>
      <w:r w:rsidRPr="00EF2C28">
        <w:rPr>
          <w:shd w:val="clear" w:color="auto" w:fill="FFFFFF"/>
        </w:rPr>
        <w:t>themes</w:t>
      </w:r>
      <w:proofErr w:type="spellEnd"/>
      <w:r w:rsidRPr="00EF2C28">
        <w:rPr>
          <w:shd w:val="clear" w:color="auto" w:fill="FFFFFF"/>
        </w:rPr>
        <w:t xml:space="preserve"> of </w:t>
      </w:r>
      <w:proofErr w:type="spellStart"/>
      <w:r w:rsidRPr="00EF2C28">
        <w:rPr>
          <w:shd w:val="clear" w:color="auto" w:fill="FFFFFF"/>
        </w:rPr>
        <w:t>coopetition</w:t>
      </w:r>
      <w:proofErr w:type="spellEnd"/>
      <w:r w:rsidRPr="00EF2C28">
        <w:rPr>
          <w:shd w:val="clear" w:color="auto" w:fill="FFFFFF"/>
        </w:rPr>
        <w:t xml:space="preserve">: A </w:t>
      </w:r>
      <w:proofErr w:type="spellStart"/>
      <w:r w:rsidRPr="00EF2C28">
        <w:rPr>
          <w:shd w:val="clear" w:color="auto" w:fill="FFFFFF"/>
        </w:rPr>
        <w:t>systematic</w:t>
      </w:r>
      <w:proofErr w:type="spellEnd"/>
      <w:r w:rsidRPr="00EF2C28">
        <w:rPr>
          <w:shd w:val="clear" w:color="auto" w:fill="FFFFFF"/>
        </w:rPr>
        <w:t xml:space="preserve"> </w:t>
      </w:r>
      <w:proofErr w:type="spellStart"/>
      <w:r w:rsidRPr="00EF2C28">
        <w:rPr>
          <w:shd w:val="clear" w:color="auto" w:fill="FFFFFF"/>
        </w:rPr>
        <w:t>literature</w:t>
      </w:r>
      <w:proofErr w:type="spellEnd"/>
      <w:r w:rsidRPr="00EF2C28">
        <w:rPr>
          <w:shd w:val="clear" w:color="auto" w:fill="FFFFFF"/>
        </w:rPr>
        <w:t xml:space="preserve"> </w:t>
      </w:r>
      <w:proofErr w:type="spellStart"/>
      <w:r w:rsidRPr="00EF2C28">
        <w:rPr>
          <w:shd w:val="clear" w:color="auto" w:fill="FFFFFF"/>
        </w:rPr>
        <w:t>review</w:t>
      </w:r>
      <w:proofErr w:type="spellEnd"/>
      <w:r w:rsidRPr="00EF2C28">
        <w:rPr>
          <w:shd w:val="clear" w:color="auto" w:fill="FFFFFF"/>
        </w:rPr>
        <w:t xml:space="preserve"> and </w:t>
      </w:r>
      <w:proofErr w:type="spellStart"/>
      <w:r w:rsidRPr="00EF2C28">
        <w:rPr>
          <w:shd w:val="clear" w:color="auto" w:fill="FFFFFF"/>
        </w:rPr>
        <w:t>research</w:t>
      </w:r>
      <w:proofErr w:type="spellEnd"/>
      <w:r w:rsidRPr="00EF2C28">
        <w:rPr>
          <w:shd w:val="clear" w:color="auto" w:fill="FFFFFF"/>
        </w:rPr>
        <w:t xml:space="preserve"> agenda. </w:t>
      </w:r>
      <w:proofErr w:type="spellStart"/>
      <w:r w:rsidRPr="00EF2C28">
        <w:rPr>
          <w:i/>
          <w:iCs/>
          <w:shd w:val="clear" w:color="auto" w:fill="FFFFFF"/>
        </w:rPr>
        <w:t>European</w:t>
      </w:r>
      <w:proofErr w:type="spellEnd"/>
      <w:r w:rsidRPr="00EF2C28">
        <w:rPr>
          <w:i/>
          <w:iCs/>
          <w:shd w:val="clear" w:color="auto" w:fill="FFFFFF"/>
        </w:rPr>
        <w:t xml:space="preserve"> Management Journal</w:t>
      </w:r>
      <w:r w:rsidRPr="00EF2C28">
        <w:rPr>
          <w:shd w:val="clear" w:color="auto" w:fill="FFFFFF"/>
        </w:rPr>
        <w:t>, </w:t>
      </w:r>
      <w:r w:rsidR="00EF2C28" w:rsidRPr="00EF2C28">
        <w:rPr>
          <w:shd w:val="clear" w:color="auto" w:fill="FFFFFF"/>
        </w:rPr>
        <w:t>vol.</w:t>
      </w:r>
      <w:r w:rsidRPr="00EF2C28">
        <w:rPr>
          <w:iCs/>
          <w:shd w:val="clear" w:color="auto" w:fill="FFFFFF"/>
        </w:rPr>
        <w:t>34</w:t>
      </w:r>
      <w:r w:rsidR="00EF2C28" w:rsidRPr="00EF2C28">
        <w:rPr>
          <w:iCs/>
          <w:shd w:val="clear" w:color="auto" w:fill="FFFFFF"/>
        </w:rPr>
        <w:t>, n°</w:t>
      </w:r>
      <w:r w:rsidRPr="00EF2C28">
        <w:rPr>
          <w:shd w:val="clear" w:color="auto" w:fill="FFFFFF"/>
        </w:rPr>
        <w:t xml:space="preserve">5, </w:t>
      </w:r>
      <w:r w:rsidR="00EF2C28">
        <w:rPr>
          <w:shd w:val="clear" w:color="auto" w:fill="FFFFFF"/>
        </w:rPr>
        <w:t>p.</w:t>
      </w:r>
      <w:r w:rsidRPr="00EF2C28">
        <w:rPr>
          <w:shd w:val="clear" w:color="auto" w:fill="FFFFFF"/>
        </w:rPr>
        <w:t>484-500.</w:t>
      </w:r>
      <w:r w:rsidRPr="00EF2C28">
        <w:t xml:space="preserve"> </w:t>
      </w:r>
      <w:bookmarkStart w:id="12" w:name="_GoBack"/>
      <w:bookmarkEnd w:id="12"/>
    </w:p>
    <w:p w14:paraId="3EA2FA73" w14:textId="727DFFEE" w:rsidR="00EA5927" w:rsidRPr="00EF2C28" w:rsidRDefault="00EA5927" w:rsidP="00544FBF">
      <w:pPr>
        <w:pStyle w:val="NormalWeb"/>
        <w:spacing w:before="0" w:beforeAutospacing="0" w:after="0" w:afterAutospacing="0"/>
        <w:ind w:left="482" w:hanging="482"/>
        <w:rPr>
          <w:lang w:val="en-US"/>
        </w:rPr>
      </w:pPr>
      <w:r w:rsidRPr="00EF2C28">
        <w:t xml:space="preserve">Fernandez, A.-S., Le Roy, F., &amp; </w:t>
      </w:r>
      <w:proofErr w:type="spellStart"/>
      <w:r w:rsidRPr="00EF2C28">
        <w:t>Gnyawali</w:t>
      </w:r>
      <w:proofErr w:type="spellEnd"/>
      <w:r w:rsidRPr="00EF2C28">
        <w:t xml:space="preserve">, D. R. (2014). </w:t>
      </w:r>
      <w:r w:rsidRPr="00EF2C28">
        <w:rPr>
          <w:lang w:val="en-US"/>
        </w:rPr>
        <w:t xml:space="preserve">Sources and management of tension in co-opetition case evidence from telecommunications satellites manufacturing in Europe. </w:t>
      </w:r>
      <w:r w:rsidRPr="00EF2C28">
        <w:rPr>
          <w:i/>
          <w:iCs/>
          <w:lang w:val="en-US"/>
        </w:rPr>
        <w:t>Industrial Marketing Management</w:t>
      </w:r>
      <w:r w:rsidRPr="00EF2C28">
        <w:rPr>
          <w:lang w:val="en-US"/>
        </w:rPr>
        <w:t xml:space="preserve">, </w:t>
      </w:r>
      <w:r w:rsidR="0087296D" w:rsidRPr="00EF2C28">
        <w:rPr>
          <w:lang w:val="en-US"/>
        </w:rPr>
        <w:t>vol.</w:t>
      </w:r>
      <w:r w:rsidRPr="00EF2C28">
        <w:rPr>
          <w:iCs/>
          <w:lang w:val="en-US"/>
        </w:rPr>
        <w:t>43</w:t>
      </w:r>
      <w:r w:rsidR="0087296D" w:rsidRPr="00EF2C28">
        <w:rPr>
          <w:iCs/>
          <w:lang w:val="en-US"/>
        </w:rPr>
        <w:t>, n°</w:t>
      </w:r>
      <w:r w:rsidRPr="00EF2C28">
        <w:rPr>
          <w:lang w:val="en-US"/>
        </w:rPr>
        <w:t xml:space="preserve">2, </w:t>
      </w:r>
      <w:r w:rsidR="0087296D" w:rsidRPr="00EF2C28">
        <w:rPr>
          <w:lang w:val="en-US"/>
        </w:rPr>
        <w:t>p.</w:t>
      </w:r>
      <w:r w:rsidRPr="00EF2C28">
        <w:rPr>
          <w:lang w:val="en-US"/>
        </w:rPr>
        <w:t xml:space="preserve">222–235. </w:t>
      </w:r>
    </w:p>
    <w:p w14:paraId="74A6D3D3" w14:textId="6F75BF92" w:rsidR="00EA5927" w:rsidRPr="00EF2C28" w:rsidRDefault="00EA5927" w:rsidP="00544FBF">
      <w:pPr>
        <w:pStyle w:val="NormalWeb"/>
        <w:spacing w:before="0" w:beforeAutospacing="0" w:after="0" w:afterAutospacing="0"/>
        <w:ind w:left="482" w:hanging="482"/>
      </w:pPr>
      <w:proofErr w:type="spellStart"/>
      <w:r w:rsidRPr="00EF2C28">
        <w:t>Gnyawali</w:t>
      </w:r>
      <w:proofErr w:type="spellEnd"/>
      <w:r w:rsidRPr="00EF2C28">
        <w:t xml:space="preserve">, D. R., &amp; Ryan </w:t>
      </w:r>
      <w:proofErr w:type="spellStart"/>
      <w:r w:rsidRPr="00EF2C28">
        <w:t>Charleton</w:t>
      </w:r>
      <w:proofErr w:type="spellEnd"/>
      <w:r w:rsidRPr="00EF2C28">
        <w:t xml:space="preserve">, T. (2018). </w:t>
      </w:r>
      <w:r w:rsidRPr="00EF2C28">
        <w:rPr>
          <w:lang w:val="en-US"/>
        </w:rPr>
        <w:t xml:space="preserve">Nuances in the Interplay of Competition and Cooperation: Towards a Theory of Coopetition. </w:t>
      </w:r>
      <w:r w:rsidRPr="00EF2C28">
        <w:rPr>
          <w:i/>
          <w:iCs/>
        </w:rPr>
        <w:t xml:space="preserve">Journal of Management, </w:t>
      </w:r>
      <w:r w:rsidR="0087296D" w:rsidRPr="00EF2C28">
        <w:rPr>
          <w:iCs/>
        </w:rPr>
        <w:t>vol.</w:t>
      </w:r>
      <w:r w:rsidRPr="00EF2C28">
        <w:rPr>
          <w:iCs/>
        </w:rPr>
        <w:t>44</w:t>
      </w:r>
      <w:r w:rsidR="0087296D" w:rsidRPr="00EF2C28">
        <w:rPr>
          <w:iCs/>
        </w:rPr>
        <w:t>, n°</w:t>
      </w:r>
      <w:r w:rsidRPr="00EF2C28">
        <w:rPr>
          <w:iCs/>
        </w:rPr>
        <w:t xml:space="preserve">7, </w:t>
      </w:r>
      <w:r w:rsidR="0087296D" w:rsidRPr="00EF2C28">
        <w:rPr>
          <w:iCs/>
        </w:rPr>
        <w:t>p.</w:t>
      </w:r>
      <w:r w:rsidRPr="00EF2C28">
        <w:rPr>
          <w:iCs/>
        </w:rPr>
        <w:t>2511-2534</w:t>
      </w:r>
      <w:r w:rsidRPr="00EF2C28">
        <w:t xml:space="preserve">. </w:t>
      </w:r>
    </w:p>
    <w:p w14:paraId="3F19331F" w14:textId="77777777" w:rsidR="00EA5927" w:rsidRPr="00EF2C28" w:rsidRDefault="00EA5927" w:rsidP="00544FBF">
      <w:pPr>
        <w:pStyle w:val="NormalWeb"/>
        <w:spacing w:before="0" w:beforeAutospacing="0" w:after="0" w:afterAutospacing="0"/>
        <w:ind w:left="482" w:hanging="482"/>
        <w:rPr>
          <w:szCs w:val="20"/>
          <w:shd w:val="clear" w:color="auto" w:fill="FFFFFF"/>
        </w:rPr>
      </w:pPr>
      <w:proofErr w:type="spellStart"/>
      <w:r w:rsidRPr="00EF2C28">
        <w:rPr>
          <w:shd w:val="clear" w:color="auto" w:fill="FFFFFF"/>
        </w:rPr>
        <w:t>Jodelet</w:t>
      </w:r>
      <w:proofErr w:type="spellEnd"/>
      <w:r w:rsidRPr="00EF2C28">
        <w:rPr>
          <w:shd w:val="clear" w:color="auto" w:fill="FFFFFF"/>
        </w:rPr>
        <w:t xml:space="preserve"> D. (2003) (éd.), </w:t>
      </w:r>
      <w:r w:rsidRPr="00EF2C28">
        <w:rPr>
          <w:i/>
          <w:iCs/>
          <w:shd w:val="clear" w:color="auto" w:fill="FFFFFF"/>
        </w:rPr>
        <w:t>Les représentations sociales</w:t>
      </w:r>
      <w:r w:rsidRPr="00EF2C28">
        <w:rPr>
          <w:shd w:val="clear" w:color="auto" w:fill="FFFFFF"/>
        </w:rPr>
        <w:t>. Presses Universitaires de France</w:t>
      </w:r>
      <w:r w:rsidRPr="00EF2C28">
        <w:rPr>
          <w:szCs w:val="20"/>
          <w:shd w:val="clear" w:color="auto" w:fill="FFFFFF"/>
        </w:rPr>
        <w:t>.</w:t>
      </w:r>
    </w:p>
    <w:p w14:paraId="44CB14A3" w14:textId="77777777" w:rsidR="00EA5927" w:rsidRPr="00EF2C28" w:rsidRDefault="00EA5927" w:rsidP="00544FBF">
      <w:pPr>
        <w:pStyle w:val="NormalWeb"/>
        <w:spacing w:before="0" w:beforeAutospacing="0" w:after="0" w:afterAutospacing="0"/>
        <w:ind w:left="482" w:hanging="482"/>
        <w:rPr>
          <w:szCs w:val="20"/>
          <w:shd w:val="clear" w:color="auto" w:fill="FFFFFF"/>
        </w:rPr>
      </w:pPr>
      <w:r w:rsidRPr="00EF2C28">
        <w:rPr>
          <w:szCs w:val="20"/>
          <w:shd w:val="clear" w:color="auto" w:fill="FFFFFF"/>
        </w:rPr>
        <w:t xml:space="preserve">Lo Monaco, G., </w:t>
      </w:r>
      <w:proofErr w:type="spellStart"/>
      <w:r w:rsidRPr="00EF2C28">
        <w:rPr>
          <w:szCs w:val="20"/>
          <w:shd w:val="clear" w:color="auto" w:fill="FFFFFF"/>
        </w:rPr>
        <w:t>Delouvée</w:t>
      </w:r>
      <w:proofErr w:type="spellEnd"/>
      <w:r w:rsidRPr="00EF2C28">
        <w:rPr>
          <w:szCs w:val="20"/>
          <w:shd w:val="clear" w:color="auto" w:fill="FFFFFF"/>
        </w:rPr>
        <w:t xml:space="preserve">, S., &amp; </w:t>
      </w:r>
      <w:proofErr w:type="spellStart"/>
      <w:r w:rsidRPr="00EF2C28">
        <w:rPr>
          <w:szCs w:val="20"/>
          <w:shd w:val="clear" w:color="auto" w:fill="FFFFFF"/>
        </w:rPr>
        <w:t>Rateau</w:t>
      </w:r>
      <w:proofErr w:type="spellEnd"/>
      <w:r w:rsidRPr="00EF2C28">
        <w:rPr>
          <w:szCs w:val="20"/>
          <w:shd w:val="clear" w:color="auto" w:fill="FFFFFF"/>
        </w:rPr>
        <w:t xml:space="preserve">, P. (2016). </w:t>
      </w:r>
      <w:r w:rsidRPr="00EF2C28">
        <w:rPr>
          <w:i/>
          <w:szCs w:val="20"/>
          <w:shd w:val="clear" w:color="auto" w:fill="FFFFFF"/>
        </w:rPr>
        <w:t>Les représentations sociales. Théories, méthodes et applications.</w:t>
      </w:r>
      <w:r w:rsidRPr="00EF2C28">
        <w:rPr>
          <w:szCs w:val="20"/>
          <w:shd w:val="clear" w:color="auto" w:fill="FFFFFF"/>
        </w:rPr>
        <w:t xml:space="preserve"> Bruxelles: De Boeck. </w:t>
      </w:r>
    </w:p>
    <w:p w14:paraId="3DE38C07" w14:textId="5FEF4A4C" w:rsidR="00EA5927" w:rsidRPr="00EF2C28" w:rsidRDefault="00EA5927" w:rsidP="00544FBF">
      <w:pPr>
        <w:pStyle w:val="NormalWeb"/>
        <w:spacing w:before="0" w:beforeAutospacing="0" w:after="0" w:afterAutospacing="0"/>
        <w:ind w:left="482" w:hanging="482"/>
        <w:rPr>
          <w:szCs w:val="20"/>
          <w:shd w:val="clear" w:color="auto" w:fill="FFFFFF"/>
          <w:lang w:val="en-US"/>
        </w:rPr>
      </w:pPr>
      <w:proofErr w:type="spellStart"/>
      <w:r w:rsidRPr="00EF2C28">
        <w:rPr>
          <w:szCs w:val="20"/>
          <w:shd w:val="clear" w:color="auto" w:fill="FFFFFF"/>
        </w:rPr>
        <w:t>Lunnan</w:t>
      </w:r>
      <w:proofErr w:type="spellEnd"/>
      <w:r w:rsidRPr="00EF2C28">
        <w:rPr>
          <w:szCs w:val="20"/>
          <w:shd w:val="clear" w:color="auto" w:fill="FFFFFF"/>
        </w:rPr>
        <w:t xml:space="preserve">, R., &amp; </w:t>
      </w:r>
      <w:proofErr w:type="spellStart"/>
      <w:r w:rsidRPr="00EF2C28">
        <w:rPr>
          <w:szCs w:val="20"/>
          <w:shd w:val="clear" w:color="auto" w:fill="FFFFFF"/>
        </w:rPr>
        <w:t>Haugland</w:t>
      </w:r>
      <w:proofErr w:type="spellEnd"/>
      <w:r w:rsidRPr="00EF2C28">
        <w:rPr>
          <w:szCs w:val="20"/>
          <w:shd w:val="clear" w:color="auto" w:fill="FFFFFF"/>
        </w:rPr>
        <w:t xml:space="preserve">, S. A. (2008). </w:t>
      </w:r>
      <w:r w:rsidRPr="00EF2C28">
        <w:rPr>
          <w:szCs w:val="20"/>
          <w:shd w:val="clear" w:color="auto" w:fill="FFFFFF"/>
          <w:lang w:val="en-US"/>
        </w:rPr>
        <w:t>Predicting and measuring alliance performance: A multidimensional analysis. </w:t>
      </w:r>
      <w:r w:rsidRPr="00EF2C28">
        <w:rPr>
          <w:i/>
          <w:iCs/>
          <w:szCs w:val="20"/>
          <w:shd w:val="clear" w:color="auto" w:fill="FFFFFF"/>
          <w:lang w:val="en-US"/>
        </w:rPr>
        <w:t>Strategic Management Journal</w:t>
      </w:r>
      <w:r w:rsidRPr="00EF2C28">
        <w:rPr>
          <w:szCs w:val="20"/>
          <w:shd w:val="clear" w:color="auto" w:fill="FFFFFF"/>
          <w:lang w:val="en-US"/>
        </w:rPr>
        <w:t>, </w:t>
      </w:r>
      <w:r w:rsidR="0087296D" w:rsidRPr="00EF2C28">
        <w:rPr>
          <w:szCs w:val="20"/>
          <w:shd w:val="clear" w:color="auto" w:fill="FFFFFF"/>
          <w:lang w:val="en-US"/>
        </w:rPr>
        <w:t>vol.</w:t>
      </w:r>
      <w:r w:rsidRPr="00EF2C28">
        <w:rPr>
          <w:iCs/>
          <w:szCs w:val="20"/>
          <w:shd w:val="clear" w:color="auto" w:fill="FFFFFF"/>
          <w:lang w:val="en-US"/>
        </w:rPr>
        <w:t>29</w:t>
      </w:r>
      <w:r w:rsidR="0087296D" w:rsidRPr="00EF2C28">
        <w:rPr>
          <w:iCs/>
          <w:szCs w:val="20"/>
          <w:shd w:val="clear" w:color="auto" w:fill="FFFFFF"/>
          <w:lang w:val="en-US"/>
        </w:rPr>
        <w:t>, n°</w:t>
      </w:r>
      <w:r w:rsidRPr="00EF2C28">
        <w:rPr>
          <w:szCs w:val="20"/>
          <w:shd w:val="clear" w:color="auto" w:fill="FFFFFF"/>
          <w:lang w:val="en-US"/>
        </w:rPr>
        <w:t xml:space="preserve">5, </w:t>
      </w:r>
      <w:r w:rsidR="0087296D" w:rsidRPr="00EF2C28">
        <w:rPr>
          <w:szCs w:val="20"/>
          <w:shd w:val="clear" w:color="auto" w:fill="FFFFFF"/>
          <w:lang w:val="en-US"/>
        </w:rPr>
        <w:t>p.</w:t>
      </w:r>
      <w:r w:rsidRPr="00EF2C28">
        <w:rPr>
          <w:szCs w:val="20"/>
          <w:shd w:val="clear" w:color="auto" w:fill="FFFFFF"/>
          <w:lang w:val="en-US"/>
        </w:rPr>
        <w:t>545-556.</w:t>
      </w:r>
    </w:p>
    <w:p w14:paraId="23632669" w14:textId="77777777" w:rsidR="00DF09AD" w:rsidRPr="00EF2C28" w:rsidRDefault="00DF09AD" w:rsidP="00DF09AD">
      <w:pPr>
        <w:pStyle w:val="NormalWeb"/>
        <w:spacing w:before="0" w:beforeAutospacing="0" w:after="0" w:afterAutospacing="0"/>
        <w:ind w:left="482" w:hanging="482"/>
        <w:rPr>
          <w:lang w:val="en-US"/>
        </w:rPr>
      </w:pPr>
      <w:proofErr w:type="spellStart"/>
      <w:r w:rsidRPr="00EF2C28">
        <w:rPr>
          <w:lang w:val="en-US"/>
        </w:rPr>
        <w:t>Nalebuff</w:t>
      </w:r>
      <w:proofErr w:type="spellEnd"/>
      <w:r w:rsidRPr="00EF2C28">
        <w:rPr>
          <w:lang w:val="en-US"/>
        </w:rPr>
        <w:t xml:space="preserve">, B. J., &amp; </w:t>
      </w:r>
      <w:proofErr w:type="spellStart"/>
      <w:r w:rsidRPr="00EF2C28">
        <w:rPr>
          <w:lang w:val="en-US"/>
        </w:rPr>
        <w:t>Brandenburger</w:t>
      </w:r>
      <w:proofErr w:type="spellEnd"/>
      <w:r w:rsidRPr="00EF2C28">
        <w:rPr>
          <w:lang w:val="en-US"/>
        </w:rPr>
        <w:t xml:space="preserve">, A. M. (1997). Co‐opetition: Competitive and cooperative business strategies for the digital economy. </w:t>
      </w:r>
      <w:r w:rsidRPr="00EF2C28">
        <w:rPr>
          <w:i/>
          <w:iCs/>
          <w:lang w:val="en-US"/>
        </w:rPr>
        <w:t>Strategy &amp; Leadership</w:t>
      </w:r>
      <w:r w:rsidRPr="00EF2C28">
        <w:rPr>
          <w:lang w:val="en-US"/>
        </w:rPr>
        <w:t>, vol.</w:t>
      </w:r>
      <w:r w:rsidRPr="00EF2C28">
        <w:rPr>
          <w:iCs/>
          <w:lang w:val="en-US"/>
        </w:rPr>
        <w:t>25</w:t>
      </w:r>
      <w:r w:rsidRPr="00EF2C28">
        <w:rPr>
          <w:i/>
          <w:iCs/>
          <w:lang w:val="en-US"/>
        </w:rPr>
        <w:t xml:space="preserve">, </w:t>
      </w:r>
      <w:r w:rsidRPr="00EF2C28">
        <w:rPr>
          <w:iCs/>
          <w:lang w:val="en-US"/>
        </w:rPr>
        <w:t>n°</w:t>
      </w:r>
      <w:r w:rsidRPr="00EF2C28">
        <w:rPr>
          <w:lang w:val="en-US"/>
        </w:rPr>
        <w:t xml:space="preserve">6, p.28–33. </w:t>
      </w:r>
    </w:p>
    <w:p w14:paraId="5D7FC813" w14:textId="7ABD20FC" w:rsidR="00EA5927" w:rsidRPr="00EF2C28" w:rsidRDefault="00EA5927" w:rsidP="00544FBF">
      <w:pPr>
        <w:pStyle w:val="NormalWeb"/>
        <w:spacing w:before="0" w:beforeAutospacing="0" w:after="0" w:afterAutospacing="0"/>
        <w:ind w:left="482" w:hanging="482"/>
        <w:rPr>
          <w:szCs w:val="20"/>
          <w:shd w:val="clear" w:color="auto" w:fill="FFFFFF"/>
          <w:lang w:val="en-US"/>
        </w:rPr>
      </w:pPr>
      <w:r w:rsidRPr="00EF2C28">
        <w:rPr>
          <w:szCs w:val="20"/>
          <w:shd w:val="clear" w:color="auto" w:fill="FFFFFF"/>
          <w:lang w:val="en-US"/>
        </w:rPr>
        <w:t xml:space="preserve">Park, B. J. R., Srivastava, M. K., &amp; </w:t>
      </w:r>
      <w:proofErr w:type="spellStart"/>
      <w:r w:rsidRPr="00EF2C28">
        <w:rPr>
          <w:szCs w:val="20"/>
          <w:shd w:val="clear" w:color="auto" w:fill="FFFFFF"/>
          <w:lang w:val="en-US"/>
        </w:rPr>
        <w:t>Gnyawali</w:t>
      </w:r>
      <w:proofErr w:type="spellEnd"/>
      <w:r w:rsidRPr="00EF2C28">
        <w:rPr>
          <w:szCs w:val="20"/>
          <w:shd w:val="clear" w:color="auto" w:fill="FFFFFF"/>
          <w:lang w:val="en-US"/>
        </w:rPr>
        <w:t>, D. R. (2014). Walking the tight rope of coopetition: Impact of competition and cooperation intensities and balance on firm innovation performance. </w:t>
      </w:r>
      <w:r w:rsidRPr="00EF2C28">
        <w:rPr>
          <w:i/>
          <w:iCs/>
          <w:szCs w:val="20"/>
          <w:shd w:val="clear" w:color="auto" w:fill="FFFFFF"/>
          <w:lang w:val="en-US"/>
        </w:rPr>
        <w:t>Industrial Marketing Management</w:t>
      </w:r>
      <w:r w:rsidRPr="00EF2C28">
        <w:rPr>
          <w:szCs w:val="20"/>
          <w:shd w:val="clear" w:color="auto" w:fill="FFFFFF"/>
          <w:lang w:val="en-US"/>
        </w:rPr>
        <w:t>, </w:t>
      </w:r>
      <w:r w:rsidR="0087296D" w:rsidRPr="00EF2C28">
        <w:rPr>
          <w:szCs w:val="20"/>
          <w:shd w:val="clear" w:color="auto" w:fill="FFFFFF"/>
          <w:lang w:val="en-US"/>
        </w:rPr>
        <w:t>vol.</w:t>
      </w:r>
      <w:r w:rsidRPr="00EF2C28">
        <w:rPr>
          <w:iCs/>
          <w:szCs w:val="20"/>
          <w:shd w:val="clear" w:color="auto" w:fill="FFFFFF"/>
          <w:lang w:val="en-US"/>
        </w:rPr>
        <w:t>43</w:t>
      </w:r>
      <w:r w:rsidR="0087296D" w:rsidRPr="00EF2C28">
        <w:rPr>
          <w:iCs/>
          <w:szCs w:val="20"/>
          <w:shd w:val="clear" w:color="auto" w:fill="FFFFFF"/>
          <w:lang w:val="en-US"/>
        </w:rPr>
        <w:t>, n°</w:t>
      </w:r>
      <w:r w:rsidRPr="00EF2C28">
        <w:rPr>
          <w:szCs w:val="20"/>
          <w:shd w:val="clear" w:color="auto" w:fill="FFFFFF"/>
          <w:lang w:val="en-US"/>
        </w:rPr>
        <w:t xml:space="preserve">2, </w:t>
      </w:r>
      <w:r w:rsidR="0087296D" w:rsidRPr="00EF2C28">
        <w:rPr>
          <w:szCs w:val="20"/>
          <w:shd w:val="clear" w:color="auto" w:fill="FFFFFF"/>
          <w:lang w:val="en-US"/>
        </w:rPr>
        <w:t>p.</w:t>
      </w:r>
      <w:r w:rsidRPr="00EF2C28">
        <w:rPr>
          <w:szCs w:val="20"/>
          <w:shd w:val="clear" w:color="auto" w:fill="FFFFFF"/>
          <w:lang w:val="en-US"/>
        </w:rPr>
        <w:t>210-221.</w:t>
      </w:r>
    </w:p>
    <w:p w14:paraId="0A2B7173" w14:textId="49AA4F13" w:rsidR="00EA5927" w:rsidRPr="00EF2C28" w:rsidRDefault="00EA5927" w:rsidP="00544FBF">
      <w:pPr>
        <w:pStyle w:val="NormalWeb"/>
        <w:spacing w:before="0" w:beforeAutospacing="0" w:after="0" w:afterAutospacing="0"/>
        <w:ind w:left="482" w:hanging="482"/>
        <w:rPr>
          <w:lang w:val="en-US"/>
        </w:rPr>
      </w:pPr>
      <w:r w:rsidRPr="00EF2C28">
        <w:rPr>
          <w:lang w:val="en-US"/>
        </w:rPr>
        <w:t>Raza-</w:t>
      </w:r>
      <w:proofErr w:type="spellStart"/>
      <w:r w:rsidRPr="00EF2C28">
        <w:rPr>
          <w:lang w:val="en-US"/>
        </w:rPr>
        <w:t>Ullah</w:t>
      </w:r>
      <w:proofErr w:type="spellEnd"/>
      <w:r w:rsidRPr="00EF2C28">
        <w:rPr>
          <w:lang w:val="en-US"/>
        </w:rPr>
        <w:t xml:space="preserve">, T., </w:t>
      </w:r>
      <w:proofErr w:type="spellStart"/>
      <w:r w:rsidRPr="00EF2C28">
        <w:rPr>
          <w:lang w:val="en-US"/>
        </w:rPr>
        <w:t>Bengtsson</w:t>
      </w:r>
      <w:proofErr w:type="spellEnd"/>
      <w:r w:rsidRPr="00EF2C28">
        <w:rPr>
          <w:lang w:val="en-US"/>
        </w:rPr>
        <w:t xml:space="preserve">, M., &amp; </w:t>
      </w:r>
      <w:proofErr w:type="spellStart"/>
      <w:r w:rsidRPr="00EF2C28">
        <w:rPr>
          <w:lang w:val="en-US"/>
        </w:rPr>
        <w:t>Gnyawali</w:t>
      </w:r>
      <w:proofErr w:type="spellEnd"/>
      <w:r w:rsidRPr="00EF2C28">
        <w:rPr>
          <w:lang w:val="en-US"/>
        </w:rPr>
        <w:t xml:space="preserve">, D. R. (2020). The nature, consequences, and management of emotions in </w:t>
      </w:r>
      <w:proofErr w:type="spellStart"/>
      <w:r w:rsidRPr="00EF2C28">
        <w:rPr>
          <w:lang w:val="en-US"/>
        </w:rPr>
        <w:t>interfirm</w:t>
      </w:r>
      <w:proofErr w:type="spellEnd"/>
      <w:r w:rsidRPr="00EF2C28">
        <w:rPr>
          <w:lang w:val="en-US"/>
        </w:rPr>
        <w:t xml:space="preserve"> paradoxical relationships-A conceptual framework. </w:t>
      </w:r>
      <w:r w:rsidRPr="00EF2C28">
        <w:rPr>
          <w:i/>
          <w:iCs/>
          <w:lang w:val="en-US"/>
        </w:rPr>
        <w:t>Scandinavian Journal of Management</w:t>
      </w:r>
      <w:r w:rsidRPr="00EF2C28">
        <w:rPr>
          <w:lang w:val="en-US"/>
        </w:rPr>
        <w:t xml:space="preserve">, </w:t>
      </w:r>
      <w:r w:rsidR="0087296D" w:rsidRPr="00EF2C28">
        <w:rPr>
          <w:lang w:val="en-US"/>
        </w:rPr>
        <w:t>vol.</w:t>
      </w:r>
      <w:r w:rsidRPr="00EF2C28">
        <w:rPr>
          <w:iCs/>
          <w:lang w:val="en-US"/>
        </w:rPr>
        <w:t>36</w:t>
      </w:r>
      <w:r w:rsidRPr="00EF2C28">
        <w:rPr>
          <w:lang w:val="en-US"/>
        </w:rPr>
        <w:t xml:space="preserve">, </w:t>
      </w:r>
      <w:r w:rsidR="0087296D" w:rsidRPr="00EF2C28">
        <w:rPr>
          <w:lang w:val="en-US"/>
        </w:rPr>
        <w:t>in press</w:t>
      </w:r>
      <w:r w:rsidRPr="00EF2C28">
        <w:rPr>
          <w:lang w:val="en-US"/>
        </w:rPr>
        <w:t xml:space="preserve">. </w:t>
      </w:r>
      <w:hyperlink r:id="rId10" w:history="1"/>
    </w:p>
    <w:sectPr w:rsidR="00EA5927" w:rsidRPr="00EF2C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E979" w14:textId="77777777" w:rsidR="001F2039" w:rsidRDefault="001F2039" w:rsidP="000C3588">
      <w:r>
        <w:separator/>
      </w:r>
    </w:p>
  </w:endnote>
  <w:endnote w:type="continuationSeparator" w:id="0">
    <w:p w14:paraId="37F19EAF" w14:textId="77777777" w:rsidR="001F2039" w:rsidRDefault="001F2039" w:rsidP="000C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73BC" w14:textId="77777777" w:rsidR="006F1338" w:rsidRDefault="006F13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663A" w14:textId="2CC49276" w:rsidR="006F1338" w:rsidRDefault="006F1338">
    <w:pPr>
      <w:pStyle w:val="Pieddepage"/>
    </w:pPr>
    <w:r>
      <w:tab/>
    </w:r>
    <w:r>
      <w:fldChar w:fldCharType="begin"/>
    </w:r>
    <w:r>
      <w:instrText>PAGE   \* MERGEFORMAT</w:instrText>
    </w:r>
    <w:r>
      <w:fldChar w:fldCharType="separate"/>
    </w:r>
    <w:r w:rsidR="00EF2C28">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12D4" w14:textId="77777777" w:rsidR="006F1338" w:rsidRDefault="006F13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55E6" w14:textId="77777777" w:rsidR="001F2039" w:rsidRDefault="001F2039" w:rsidP="000C3588">
      <w:r>
        <w:separator/>
      </w:r>
    </w:p>
  </w:footnote>
  <w:footnote w:type="continuationSeparator" w:id="0">
    <w:p w14:paraId="6CF1099D" w14:textId="77777777" w:rsidR="001F2039" w:rsidRDefault="001F2039" w:rsidP="000C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E451" w14:textId="77777777" w:rsidR="006F1338" w:rsidRDefault="006F13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4CB7" w14:textId="77777777" w:rsidR="006F1338" w:rsidRDefault="006F1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F528" w14:textId="77777777" w:rsidR="006F1338" w:rsidRDefault="006F13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65A"/>
    <w:multiLevelType w:val="multilevel"/>
    <w:tmpl w:val="47C6E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E5BFF"/>
    <w:multiLevelType w:val="hybridMultilevel"/>
    <w:tmpl w:val="CE52C6F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B6CFF"/>
    <w:multiLevelType w:val="multilevel"/>
    <w:tmpl w:val="B2C023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C1799"/>
    <w:multiLevelType w:val="multilevel"/>
    <w:tmpl w:val="09D8043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D9279D3"/>
    <w:multiLevelType w:val="multilevel"/>
    <w:tmpl w:val="B2C023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845151"/>
    <w:multiLevelType w:val="hybridMultilevel"/>
    <w:tmpl w:val="BA000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6C4558"/>
    <w:multiLevelType w:val="hybridMultilevel"/>
    <w:tmpl w:val="2BC8F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6B4FC3"/>
    <w:multiLevelType w:val="multilevel"/>
    <w:tmpl w:val="B2C023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7C060A"/>
    <w:multiLevelType w:val="hybridMultilevel"/>
    <w:tmpl w:val="FD3A3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5B0A6B"/>
    <w:multiLevelType w:val="hybridMultilevel"/>
    <w:tmpl w:val="D07C9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4D756C"/>
    <w:multiLevelType w:val="hybridMultilevel"/>
    <w:tmpl w:val="8E3623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10"/>
  </w:num>
  <w:num w:numId="3">
    <w:abstractNumId w:val="6"/>
  </w:num>
  <w:num w:numId="4">
    <w:abstractNumId w:val="0"/>
  </w:num>
  <w:num w:numId="5">
    <w:abstractNumId w:val="3"/>
  </w:num>
  <w:num w:numId="6">
    <w:abstractNumId w:val="8"/>
  </w:num>
  <w:num w:numId="7">
    <w:abstractNumId w:val="9"/>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88"/>
    <w:rsid w:val="00030AFD"/>
    <w:rsid w:val="00047AEB"/>
    <w:rsid w:val="00053721"/>
    <w:rsid w:val="000560F5"/>
    <w:rsid w:val="000632A2"/>
    <w:rsid w:val="00076924"/>
    <w:rsid w:val="000925C6"/>
    <w:rsid w:val="00094E91"/>
    <w:rsid w:val="000A1958"/>
    <w:rsid w:val="000A671C"/>
    <w:rsid w:val="000C08C4"/>
    <w:rsid w:val="000C3588"/>
    <w:rsid w:val="000D438E"/>
    <w:rsid w:val="000F6129"/>
    <w:rsid w:val="00122146"/>
    <w:rsid w:val="00131A22"/>
    <w:rsid w:val="00133B7C"/>
    <w:rsid w:val="00142A25"/>
    <w:rsid w:val="0017396E"/>
    <w:rsid w:val="001768CD"/>
    <w:rsid w:val="00185D03"/>
    <w:rsid w:val="001B2475"/>
    <w:rsid w:val="001D4622"/>
    <w:rsid w:val="001E245E"/>
    <w:rsid w:val="001F2039"/>
    <w:rsid w:val="001F7DAE"/>
    <w:rsid w:val="00204E84"/>
    <w:rsid w:val="00213875"/>
    <w:rsid w:val="002214C6"/>
    <w:rsid w:val="002621DB"/>
    <w:rsid w:val="00277E46"/>
    <w:rsid w:val="002A01D6"/>
    <w:rsid w:val="002A299B"/>
    <w:rsid w:val="002F41D4"/>
    <w:rsid w:val="00340842"/>
    <w:rsid w:val="00342123"/>
    <w:rsid w:val="00374F96"/>
    <w:rsid w:val="00385B62"/>
    <w:rsid w:val="003925F4"/>
    <w:rsid w:val="0039597F"/>
    <w:rsid w:val="003A3186"/>
    <w:rsid w:val="003C13CC"/>
    <w:rsid w:val="00402E8E"/>
    <w:rsid w:val="00413211"/>
    <w:rsid w:val="0041358E"/>
    <w:rsid w:val="00422DF3"/>
    <w:rsid w:val="004313DF"/>
    <w:rsid w:val="00450297"/>
    <w:rsid w:val="004643D9"/>
    <w:rsid w:val="00464EA1"/>
    <w:rsid w:val="004953F7"/>
    <w:rsid w:val="004D6DBD"/>
    <w:rsid w:val="004E1326"/>
    <w:rsid w:val="004E36BE"/>
    <w:rsid w:val="00504B0E"/>
    <w:rsid w:val="00511474"/>
    <w:rsid w:val="005223C0"/>
    <w:rsid w:val="00542811"/>
    <w:rsid w:val="00544FBF"/>
    <w:rsid w:val="005720B4"/>
    <w:rsid w:val="005869AB"/>
    <w:rsid w:val="00586E3A"/>
    <w:rsid w:val="00594DDE"/>
    <w:rsid w:val="005A1B5A"/>
    <w:rsid w:val="005A5E4F"/>
    <w:rsid w:val="005B068B"/>
    <w:rsid w:val="005B12AE"/>
    <w:rsid w:val="005B7E56"/>
    <w:rsid w:val="005D74F8"/>
    <w:rsid w:val="005F4FC1"/>
    <w:rsid w:val="00620F7D"/>
    <w:rsid w:val="006268E5"/>
    <w:rsid w:val="00685363"/>
    <w:rsid w:val="00695A1B"/>
    <w:rsid w:val="006B27E5"/>
    <w:rsid w:val="006B29BB"/>
    <w:rsid w:val="006D0F23"/>
    <w:rsid w:val="006E41EE"/>
    <w:rsid w:val="006F1338"/>
    <w:rsid w:val="006F4E68"/>
    <w:rsid w:val="00700942"/>
    <w:rsid w:val="00745077"/>
    <w:rsid w:val="00774FDE"/>
    <w:rsid w:val="00783142"/>
    <w:rsid w:val="007939B2"/>
    <w:rsid w:val="007A401C"/>
    <w:rsid w:val="007B6B11"/>
    <w:rsid w:val="007C32D5"/>
    <w:rsid w:val="007E2ADE"/>
    <w:rsid w:val="007F3F22"/>
    <w:rsid w:val="008061CE"/>
    <w:rsid w:val="008500CA"/>
    <w:rsid w:val="00862756"/>
    <w:rsid w:val="00872583"/>
    <w:rsid w:val="0087296D"/>
    <w:rsid w:val="008739E4"/>
    <w:rsid w:val="00921333"/>
    <w:rsid w:val="00927DCA"/>
    <w:rsid w:val="00983721"/>
    <w:rsid w:val="009A4342"/>
    <w:rsid w:val="009B2340"/>
    <w:rsid w:val="009C5019"/>
    <w:rsid w:val="00A14C8B"/>
    <w:rsid w:val="00A15429"/>
    <w:rsid w:val="00A558CE"/>
    <w:rsid w:val="00A6401E"/>
    <w:rsid w:val="00A94CBD"/>
    <w:rsid w:val="00A97043"/>
    <w:rsid w:val="00AA26FB"/>
    <w:rsid w:val="00AC04C3"/>
    <w:rsid w:val="00AC5905"/>
    <w:rsid w:val="00AF5CF6"/>
    <w:rsid w:val="00B2427E"/>
    <w:rsid w:val="00B3225D"/>
    <w:rsid w:val="00B33467"/>
    <w:rsid w:val="00B46EAE"/>
    <w:rsid w:val="00B47069"/>
    <w:rsid w:val="00B52761"/>
    <w:rsid w:val="00B546FF"/>
    <w:rsid w:val="00B56630"/>
    <w:rsid w:val="00B602F2"/>
    <w:rsid w:val="00BA5210"/>
    <w:rsid w:val="00BD1069"/>
    <w:rsid w:val="00BF329E"/>
    <w:rsid w:val="00BF5557"/>
    <w:rsid w:val="00C23FAE"/>
    <w:rsid w:val="00C25B8C"/>
    <w:rsid w:val="00C312B3"/>
    <w:rsid w:val="00C60539"/>
    <w:rsid w:val="00CA5CA1"/>
    <w:rsid w:val="00CA6266"/>
    <w:rsid w:val="00CD736A"/>
    <w:rsid w:val="00CD7F72"/>
    <w:rsid w:val="00CE0CB4"/>
    <w:rsid w:val="00D26FB9"/>
    <w:rsid w:val="00D40A97"/>
    <w:rsid w:val="00D40F6B"/>
    <w:rsid w:val="00D709F8"/>
    <w:rsid w:val="00D9038A"/>
    <w:rsid w:val="00D96C3A"/>
    <w:rsid w:val="00DA4519"/>
    <w:rsid w:val="00DA6098"/>
    <w:rsid w:val="00DB64A9"/>
    <w:rsid w:val="00DC3D78"/>
    <w:rsid w:val="00DE3E8C"/>
    <w:rsid w:val="00DF09AD"/>
    <w:rsid w:val="00E01FBB"/>
    <w:rsid w:val="00E12290"/>
    <w:rsid w:val="00E13839"/>
    <w:rsid w:val="00E23B05"/>
    <w:rsid w:val="00E3293A"/>
    <w:rsid w:val="00E35954"/>
    <w:rsid w:val="00E52A26"/>
    <w:rsid w:val="00E62FBF"/>
    <w:rsid w:val="00E63953"/>
    <w:rsid w:val="00E72A11"/>
    <w:rsid w:val="00EA5927"/>
    <w:rsid w:val="00EF176F"/>
    <w:rsid w:val="00EF1CCB"/>
    <w:rsid w:val="00EF2C28"/>
    <w:rsid w:val="00F1244C"/>
    <w:rsid w:val="00F14344"/>
    <w:rsid w:val="00F14668"/>
    <w:rsid w:val="00F2303A"/>
    <w:rsid w:val="00F7389F"/>
    <w:rsid w:val="00F93181"/>
    <w:rsid w:val="00FA0569"/>
    <w:rsid w:val="00FA1B87"/>
    <w:rsid w:val="00FA371E"/>
    <w:rsid w:val="00FE311D"/>
    <w:rsid w:val="00FF1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E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69"/>
    <w:pPr>
      <w:spacing w:after="0" w:line="36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26FB9"/>
    <w:pPr>
      <w:keepNext/>
      <w:keepLines/>
      <w:numPr>
        <w:numId w:val="5"/>
      </w:numPr>
      <w:spacing w:before="360" w:after="120"/>
      <w:ind w:left="431" w:hanging="431"/>
      <w:outlineLvl w:val="0"/>
    </w:pPr>
    <w:rPr>
      <w:rFonts w:eastAsiaTheme="majorEastAsia" w:cstheme="majorBidi"/>
      <w:b/>
      <w:sz w:val="26"/>
      <w:szCs w:val="32"/>
      <w:lang w:eastAsia="en-US"/>
    </w:rPr>
  </w:style>
  <w:style w:type="paragraph" w:styleId="Titre2">
    <w:name w:val="heading 2"/>
    <w:basedOn w:val="Normal"/>
    <w:next w:val="Normal"/>
    <w:link w:val="Titre2Car"/>
    <w:uiPriority w:val="9"/>
    <w:unhideWhenUsed/>
    <w:qFormat/>
    <w:rsid w:val="00D26FB9"/>
    <w:pPr>
      <w:keepNext/>
      <w:keepLines/>
      <w:numPr>
        <w:ilvl w:val="1"/>
        <w:numId w:val="5"/>
      </w:numPr>
      <w:spacing w:before="240" w:after="120"/>
      <w:ind w:left="578" w:hanging="578"/>
      <w:outlineLvl w:val="1"/>
    </w:pPr>
    <w:rPr>
      <w:rFonts w:eastAsiaTheme="majorEastAsia" w:cstheme="majorBidi"/>
      <w:b/>
      <w:i/>
      <w:szCs w:val="26"/>
    </w:rPr>
  </w:style>
  <w:style w:type="paragraph" w:styleId="Titre3">
    <w:name w:val="heading 3"/>
    <w:basedOn w:val="Normal"/>
    <w:next w:val="Normal"/>
    <w:link w:val="Titre3Car"/>
    <w:uiPriority w:val="9"/>
    <w:unhideWhenUsed/>
    <w:qFormat/>
    <w:rsid w:val="00BA5210"/>
    <w:pPr>
      <w:keepNext/>
      <w:keepLines/>
      <w:numPr>
        <w:ilvl w:val="2"/>
        <w:numId w:val="5"/>
      </w:numPr>
      <w:spacing w:before="240" w:after="240"/>
      <w:outlineLvl w:val="2"/>
    </w:pPr>
    <w:rPr>
      <w:rFonts w:eastAsiaTheme="majorEastAsia" w:cstheme="majorBidi"/>
      <w:i/>
    </w:rPr>
  </w:style>
  <w:style w:type="paragraph" w:styleId="Titre4">
    <w:name w:val="heading 4"/>
    <w:basedOn w:val="Normal"/>
    <w:next w:val="Normal"/>
    <w:link w:val="Titre4Car"/>
    <w:uiPriority w:val="9"/>
    <w:semiHidden/>
    <w:unhideWhenUsed/>
    <w:qFormat/>
    <w:rsid w:val="005D74F8"/>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D74F8"/>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D74F8"/>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D74F8"/>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D74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D74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A5210"/>
    <w:rPr>
      <w:rFonts w:ascii="Times New Roman" w:eastAsiaTheme="majorEastAsia" w:hAnsi="Times New Roman" w:cstheme="majorBidi"/>
      <w:i/>
      <w:sz w:val="24"/>
      <w:szCs w:val="24"/>
      <w:lang w:eastAsia="fr-FR"/>
    </w:rPr>
  </w:style>
  <w:style w:type="character" w:customStyle="1" w:styleId="Titre2Car">
    <w:name w:val="Titre 2 Car"/>
    <w:basedOn w:val="Policepardfaut"/>
    <w:link w:val="Titre2"/>
    <w:uiPriority w:val="9"/>
    <w:rsid w:val="00D26FB9"/>
    <w:rPr>
      <w:rFonts w:ascii="Times New Roman" w:eastAsiaTheme="majorEastAsia" w:hAnsi="Times New Roman" w:cstheme="majorBidi"/>
      <w:b/>
      <w:i/>
      <w:szCs w:val="26"/>
      <w:lang w:eastAsia="fr-FR"/>
    </w:rPr>
  </w:style>
  <w:style w:type="paragraph" w:styleId="Lgende">
    <w:name w:val="caption"/>
    <w:basedOn w:val="Normal"/>
    <w:next w:val="Normal"/>
    <w:uiPriority w:val="35"/>
    <w:unhideWhenUsed/>
    <w:qFormat/>
    <w:rsid w:val="000C3588"/>
    <w:pPr>
      <w:spacing w:after="200"/>
    </w:pPr>
    <w:rPr>
      <w:i/>
      <w:iCs/>
      <w:color w:val="44546A" w:themeColor="text2"/>
      <w:sz w:val="18"/>
      <w:szCs w:val="18"/>
    </w:rPr>
  </w:style>
  <w:style w:type="table" w:styleId="Grilledutableau">
    <w:name w:val="Table Grid"/>
    <w:basedOn w:val="TableauNormal"/>
    <w:uiPriority w:val="39"/>
    <w:rsid w:val="000C35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3588"/>
    <w:pPr>
      <w:ind w:left="720"/>
      <w:contextualSpacing/>
    </w:pPr>
  </w:style>
  <w:style w:type="paragraph" w:styleId="En-tte">
    <w:name w:val="header"/>
    <w:basedOn w:val="Normal"/>
    <w:link w:val="En-tteCar"/>
    <w:uiPriority w:val="99"/>
    <w:unhideWhenUsed/>
    <w:rsid w:val="000C3588"/>
    <w:pPr>
      <w:tabs>
        <w:tab w:val="center" w:pos="4536"/>
        <w:tab w:val="right" w:pos="9072"/>
      </w:tabs>
    </w:pPr>
  </w:style>
  <w:style w:type="character" w:customStyle="1" w:styleId="En-tteCar">
    <w:name w:val="En-tête Car"/>
    <w:basedOn w:val="Policepardfaut"/>
    <w:link w:val="En-tte"/>
    <w:uiPriority w:val="99"/>
    <w:rsid w:val="000C35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C3588"/>
    <w:pPr>
      <w:tabs>
        <w:tab w:val="center" w:pos="4536"/>
        <w:tab w:val="right" w:pos="9072"/>
      </w:tabs>
    </w:pPr>
  </w:style>
  <w:style w:type="character" w:customStyle="1" w:styleId="PieddepageCar">
    <w:name w:val="Pied de page Car"/>
    <w:basedOn w:val="Policepardfaut"/>
    <w:link w:val="Pieddepage"/>
    <w:uiPriority w:val="99"/>
    <w:rsid w:val="000C3588"/>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AF5CF6"/>
    <w:pPr>
      <w:spacing w:line="240" w:lineRule="auto"/>
      <w:contextualSpacing/>
      <w:jc w:val="center"/>
    </w:pPr>
    <w:rPr>
      <w:rFonts w:eastAsiaTheme="majorEastAsia" w:cstheme="majorBidi"/>
      <w:b/>
      <w:spacing w:val="-10"/>
      <w:kern w:val="28"/>
      <w:sz w:val="36"/>
      <w:szCs w:val="56"/>
    </w:rPr>
  </w:style>
  <w:style w:type="character" w:customStyle="1" w:styleId="TitreCar">
    <w:name w:val="Titre Car"/>
    <w:basedOn w:val="Policepardfaut"/>
    <w:link w:val="Titre"/>
    <w:uiPriority w:val="10"/>
    <w:rsid w:val="00AF5CF6"/>
    <w:rPr>
      <w:rFonts w:ascii="Times New Roman" w:eastAsiaTheme="majorEastAsia" w:hAnsi="Times New Roman" w:cstheme="majorBidi"/>
      <w:b/>
      <w:spacing w:val="-10"/>
      <w:kern w:val="28"/>
      <w:sz w:val="36"/>
      <w:szCs w:val="56"/>
      <w:lang w:eastAsia="fr-FR"/>
    </w:rPr>
  </w:style>
  <w:style w:type="character" w:customStyle="1" w:styleId="Titre1Car">
    <w:name w:val="Titre 1 Car"/>
    <w:basedOn w:val="Policepardfaut"/>
    <w:link w:val="Titre1"/>
    <w:uiPriority w:val="9"/>
    <w:rsid w:val="00D26FB9"/>
    <w:rPr>
      <w:rFonts w:ascii="Times New Roman" w:eastAsiaTheme="majorEastAsia" w:hAnsi="Times New Roman" w:cstheme="majorBidi"/>
      <w:b/>
      <w:sz w:val="26"/>
      <w:szCs w:val="32"/>
    </w:rPr>
  </w:style>
  <w:style w:type="character" w:customStyle="1" w:styleId="Titre4Car">
    <w:name w:val="Titre 4 Car"/>
    <w:basedOn w:val="Policepardfaut"/>
    <w:link w:val="Titre4"/>
    <w:uiPriority w:val="9"/>
    <w:semiHidden/>
    <w:rsid w:val="005D74F8"/>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5D74F8"/>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5D74F8"/>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5D74F8"/>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5D74F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5D74F8"/>
    <w:rPr>
      <w:rFonts w:asciiTheme="majorHAnsi" w:eastAsiaTheme="majorEastAsia" w:hAnsiTheme="majorHAnsi" w:cstheme="majorBidi"/>
      <w:i/>
      <w:iCs/>
      <w:color w:val="272727" w:themeColor="text1" w:themeTint="D8"/>
      <w:sz w:val="21"/>
      <w:szCs w:val="21"/>
      <w:lang w:eastAsia="fr-FR"/>
    </w:rPr>
  </w:style>
  <w:style w:type="paragraph" w:styleId="NormalWeb">
    <w:name w:val="Normal (Web)"/>
    <w:basedOn w:val="Normal"/>
    <w:uiPriority w:val="99"/>
    <w:unhideWhenUsed/>
    <w:rsid w:val="00EA5927"/>
    <w:pPr>
      <w:spacing w:before="100" w:beforeAutospacing="1" w:after="100" w:afterAutospacing="1" w:line="240" w:lineRule="auto"/>
      <w:jc w:val="left"/>
    </w:pPr>
  </w:style>
  <w:style w:type="character" w:styleId="Lienhypertexte">
    <w:name w:val="Hyperlink"/>
    <w:basedOn w:val="Policepardfaut"/>
    <w:uiPriority w:val="99"/>
    <w:unhideWhenUsed/>
    <w:rsid w:val="00EA5927"/>
    <w:rPr>
      <w:color w:val="0563C1" w:themeColor="hyperlink"/>
      <w:u w:val="single"/>
    </w:rPr>
  </w:style>
  <w:style w:type="character" w:customStyle="1" w:styleId="uppercase">
    <w:name w:val="uppercase"/>
    <w:basedOn w:val="Policepardfaut"/>
    <w:rsid w:val="00EA5927"/>
  </w:style>
  <w:style w:type="paragraph" w:styleId="Notedebasdepage">
    <w:name w:val="footnote text"/>
    <w:basedOn w:val="Normal"/>
    <w:link w:val="NotedebasdepageCar"/>
    <w:uiPriority w:val="99"/>
    <w:semiHidden/>
    <w:unhideWhenUsed/>
    <w:rsid w:val="00921333"/>
    <w:pPr>
      <w:spacing w:line="240" w:lineRule="auto"/>
    </w:pPr>
    <w:rPr>
      <w:sz w:val="20"/>
      <w:szCs w:val="20"/>
    </w:rPr>
  </w:style>
  <w:style w:type="character" w:customStyle="1" w:styleId="NotedebasdepageCar">
    <w:name w:val="Note de bas de page Car"/>
    <w:basedOn w:val="Policepardfaut"/>
    <w:link w:val="Notedebasdepage"/>
    <w:uiPriority w:val="99"/>
    <w:semiHidden/>
    <w:rsid w:val="0092133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21333"/>
    <w:rPr>
      <w:vertAlign w:val="superscript"/>
    </w:rPr>
  </w:style>
  <w:style w:type="paragraph" w:styleId="Textedebulles">
    <w:name w:val="Balloon Text"/>
    <w:basedOn w:val="Normal"/>
    <w:link w:val="TextedebullesCar"/>
    <w:uiPriority w:val="99"/>
    <w:semiHidden/>
    <w:unhideWhenUsed/>
    <w:rsid w:val="006268E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8E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6452">
      <w:bodyDiv w:val="1"/>
      <w:marLeft w:val="0"/>
      <w:marRight w:val="0"/>
      <w:marTop w:val="0"/>
      <w:marBottom w:val="0"/>
      <w:divBdr>
        <w:top w:val="none" w:sz="0" w:space="0" w:color="auto"/>
        <w:left w:val="none" w:sz="0" w:space="0" w:color="auto"/>
        <w:bottom w:val="none" w:sz="0" w:space="0" w:color="auto"/>
        <w:right w:val="none" w:sz="0" w:space="0" w:color="auto"/>
      </w:divBdr>
      <w:divsChild>
        <w:div w:id="1779447630">
          <w:marLeft w:val="0"/>
          <w:marRight w:val="0"/>
          <w:marTop w:val="0"/>
          <w:marBottom w:val="0"/>
          <w:divBdr>
            <w:top w:val="none" w:sz="0" w:space="0" w:color="auto"/>
            <w:left w:val="none" w:sz="0" w:space="0" w:color="auto"/>
            <w:bottom w:val="none" w:sz="0" w:space="0" w:color="auto"/>
            <w:right w:val="none" w:sz="0" w:space="0" w:color="auto"/>
          </w:divBdr>
        </w:div>
        <w:div w:id="840849555">
          <w:marLeft w:val="0"/>
          <w:marRight w:val="0"/>
          <w:marTop w:val="0"/>
          <w:marBottom w:val="0"/>
          <w:divBdr>
            <w:top w:val="none" w:sz="0" w:space="0" w:color="auto"/>
            <w:left w:val="none" w:sz="0" w:space="0" w:color="auto"/>
            <w:bottom w:val="none" w:sz="0" w:space="0" w:color="auto"/>
            <w:right w:val="none" w:sz="0" w:space="0" w:color="auto"/>
          </w:divBdr>
        </w:div>
        <w:div w:id="443575570">
          <w:marLeft w:val="0"/>
          <w:marRight w:val="0"/>
          <w:marTop w:val="0"/>
          <w:marBottom w:val="0"/>
          <w:divBdr>
            <w:top w:val="none" w:sz="0" w:space="0" w:color="auto"/>
            <w:left w:val="none" w:sz="0" w:space="0" w:color="auto"/>
            <w:bottom w:val="none" w:sz="0" w:space="0" w:color="auto"/>
            <w:right w:val="none" w:sz="0" w:space="0" w:color="auto"/>
          </w:divBdr>
        </w:div>
        <w:div w:id="1941258546">
          <w:marLeft w:val="0"/>
          <w:marRight w:val="0"/>
          <w:marTop w:val="0"/>
          <w:marBottom w:val="0"/>
          <w:divBdr>
            <w:top w:val="none" w:sz="0" w:space="0" w:color="auto"/>
            <w:left w:val="none" w:sz="0" w:space="0" w:color="auto"/>
            <w:bottom w:val="none" w:sz="0" w:space="0" w:color="auto"/>
            <w:right w:val="none" w:sz="0" w:space="0" w:color="auto"/>
          </w:divBdr>
        </w:div>
        <w:div w:id="1227567279">
          <w:marLeft w:val="0"/>
          <w:marRight w:val="0"/>
          <w:marTop w:val="0"/>
          <w:marBottom w:val="0"/>
          <w:divBdr>
            <w:top w:val="none" w:sz="0" w:space="0" w:color="auto"/>
            <w:left w:val="none" w:sz="0" w:space="0" w:color="auto"/>
            <w:bottom w:val="none" w:sz="0" w:space="0" w:color="auto"/>
            <w:right w:val="none" w:sz="0" w:space="0" w:color="auto"/>
          </w:divBdr>
        </w:div>
      </w:divsChild>
    </w:div>
    <w:div w:id="17375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albert@esc-clermont.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16/j.scaman.2020.101127" TargetMode="External"/><Relationship Id="rId4" Type="http://schemas.openxmlformats.org/officeDocument/2006/relationships/settings" Target="settings.xml"/><Relationship Id="rId9" Type="http://schemas.openxmlformats.org/officeDocument/2006/relationships/hyperlink" Target="mailto:direction.ifso@ifso-vichy.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B3FE0DC-22C2-4FFD-B7BF-FD0E85D3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7374</Words>
  <Characters>40558</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2021-06-24T06:36:00Z</dcterms:created>
  <dcterms:modified xsi:type="dcterms:W3CDTF">2021-06-30T06:45:00Z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http://www.zotero.org/styles/ecological-economics</vt:lpwstr>
  </property>
  <property fmtid="{D5CDD505-2E9C-101B-9397-08002B2CF9AE}" pid="11" name="Mendeley Recent Style Name 4_1">
    <vt:lpwstr>Ecological Economics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http://www.zotero.org/styles/long-range-planning</vt:lpwstr>
  </property>
  <property fmtid="{D5CDD505-2E9C-101B-9397-08002B2CF9AE}" pid="17" name="Mendeley Recent Style Name 7_1">
    <vt:lpwstr>Long Range Planning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